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F4CD2" w14:textId="2F7F96BA" w:rsidR="00826843" w:rsidRDefault="00C65B6B" w:rsidP="001442C3">
      <w:pPr>
        <w:jc w:val="center"/>
        <w:rPr>
          <w:b/>
          <w:spacing w:val="60"/>
          <w:sz w:val="24"/>
          <w:szCs w:val="24"/>
        </w:rPr>
      </w:pPr>
      <w:r>
        <w:rPr>
          <w:b/>
          <w:noProof/>
          <w:spacing w:val="60"/>
          <w:sz w:val="24"/>
          <w:szCs w:val="24"/>
        </w:rPr>
        <w:drawing>
          <wp:anchor distT="0" distB="0" distL="114300" distR="114300" simplePos="0" relativeHeight="251658241" behindDoc="0" locked="1" layoutInCell="1" allowOverlap="1" wp14:anchorId="4CC62F77" wp14:editId="22F7FF24">
            <wp:simplePos x="0" y="0"/>
            <wp:positionH relativeFrom="column">
              <wp:posOffset>-1143000</wp:posOffset>
            </wp:positionH>
            <wp:positionV relativeFrom="page">
              <wp:posOffset>7620</wp:posOffset>
            </wp:positionV>
            <wp:extent cx="7772400" cy="1828800"/>
            <wp:effectExtent l="0" t="0" r="0" b="0"/>
            <wp:wrapNone/>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72400" cy="1828800"/>
                    </a:xfrm>
                    <a:prstGeom prst="rect">
                      <a:avLst/>
                    </a:prstGeom>
                  </pic:spPr>
                </pic:pic>
              </a:graphicData>
            </a:graphic>
            <wp14:sizeRelH relativeFrom="page">
              <wp14:pctWidth>0</wp14:pctWidth>
            </wp14:sizeRelH>
            <wp14:sizeRelV relativeFrom="page">
              <wp14:pctHeight>0</wp14:pctHeight>
            </wp14:sizeRelV>
          </wp:anchor>
        </w:drawing>
      </w:r>
    </w:p>
    <w:p w14:paraId="1922D182" w14:textId="77777777" w:rsidR="00826843" w:rsidRDefault="00826843" w:rsidP="001442C3">
      <w:pPr>
        <w:jc w:val="center"/>
        <w:rPr>
          <w:b/>
          <w:spacing w:val="60"/>
          <w:sz w:val="24"/>
          <w:szCs w:val="24"/>
        </w:rPr>
      </w:pPr>
    </w:p>
    <w:p w14:paraId="67CC2B0F" w14:textId="77777777" w:rsidR="00826843" w:rsidRDefault="00826843" w:rsidP="001442C3">
      <w:pPr>
        <w:jc w:val="center"/>
        <w:rPr>
          <w:b/>
          <w:spacing w:val="60"/>
          <w:sz w:val="24"/>
          <w:szCs w:val="24"/>
        </w:rPr>
      </w:pPr>
    </w:p>
    <w:p w14:paraId="1E9CDF8E" w14:textId="77777777" w:rsidR="00826843" w:rsidRDefault="00826843" w:rsidP="001442C3">
      <w:pPr>
        <w:jc w:val="center"/>
        <w:rPr>
          <w:b/>
          <w:spacing w:val="60"/>
          <w:sz w:val="24"/>
          <w:szCs w:val="24"/>
        </w:rPr>
      </w:pPr>
    </w:p>
    <w:p w14:paraId="0338FCCB" w14:textId="77777777" w:rsidR="009F262A" w:rsidRDefault="009F262A" w:rsidP="001442C3">
      <w:pPr>
        <w:jc w:val="center"/>
        <w:rPr>
          <w:b/>
          <w:spacing w:val="60"/>
          <w:sz w:val="24"/>
          <w:szCs w:val="24"/>
        </w:rPr>
      </w:pPr>
    </w:p>
    <w:p w14:paraId="3C469FAF" w14:textId="3B756658" w:rsidR="00F06845" w:rsidRPr="009F262A" w:rsidRDefault="00E355B1" w:rsidP="001442C3">
      <w:pPr>
        <w:jc w:val="center"/>
        <w:rPr>
          <w:rFonts w:ascii="Segoe UI" w:hAnsi="Segoe UI" w:cs="Segoe UI"/>
          <w:sz w:val="28"/>
          <w:szCs w:val="28"/>
        </w:rPr>
      </w:pPr>
      <w:r w:rsidRPr="009F262A">
        <w:rPr>
          <w:rFonts w:ascii="Segoe UI" w:hAnsi="Segoe UI" w:cs="Segoe UI"/>
          <w:noProof/>
          <w:sz w:val="28"/>
          <w:szCs w:val="28"/>
        </w:rPr>
        <mc:AlternateContent>
          <mc:Choice Requires="wps">
            <w:drawing>
              <wp:anchor distT="0" distB="0" distL="114300" distR="114300" simplePos="0" relativeHeight="251658240" behindDoc="0" locked="0" layoutInCell="1" allowOverlap="1" wp14:anchorId="172B9383" wp14:editId="7DC6B83E">
                <wp:simplePos x="0" y="0"/>
                <wp:positionH relativeFrom="column">
                  <wp:posOffset>-1143000</wp:posOffset>
                </wp:positionH>
                <wp:positionV relativeFrom="paragraph">
                  <wp:posOffset>-914400</wp:posOffset>
                </wp:positionV>
                <wp:extent cx="7762875" cy="1874520"/>
                <wp:effectExtent l="0" t="0" r="0" b="19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2875" cy="1874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971071" w14:textId="77777777" w:rsidR="007B25D2" w:rsidRDefault="007B25D2"/>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72B9383" id="_x0000_t202" coordsize="21600,21600" o:spt="202" path="m,l,21600r21600,l21600,xe">
                <v:stroke joinstyle="miter"/>
                <v:path gradientshapeok="t" o:connecttype="rect"/>
              </v:shapetype>
              <v:shape id="Text Box 2" o:spid="_x0000_s1026" type="#_x0000_t202" style="position:absolute;left:0;text-align:left;margin-left:-90pt;margin-top:-1in;width:611.25pt;height:14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" stroked="f">
                <v:textbox style="mso-fit-shape-to-text:t">
                  <w:txbxContent>
                    <w:p w14:paraId="4B971071" w14:textId="77777777" w:rsidR="007B25D2" w:rsidRDefault="007B25D2"/>
                  </w:txbxContent>
                </v:textbox>
                <w10:wrap type="square"/>
              </v:shape>
            </w:pict>
          </mc:Fallback>
        </mc:AlternateContent>
      </w:r>
      <w:r w:rsidR="00A5629B">
        <w:rPr>
          <w:rFonts w:ascii="Segoe UI" w:hAnsi="Segoe UI" w:cs="Segoe UI"/>
          <w:b/>
          <w:spacing w:val="60"/>
          <w:sz w:val="28"/>
          <w:szCs w:val="28"/>
        </w:rPr>
        <w:t>SURETY AMOUNT CALCULATION WORKSHEET</w:t>
      </w:r>
    </w:p>
    <w:p w14:paraId="215BD447" w14:textId="02148D3D" w:rsidR="00F06845" w:rsidRPr="009F262A" w:rsidRDefault="00F06845" w:rsidP="009E36F8">
      <w:pPr>
        <w:pBdr>
          <w:bottom w:val="single" w:sz="12" w:space="1" w:color="auto"/>
        </w:pBdr>
        <w:tabs>
          <w:tab w:val="left" w:pos="1440"/>
        </w:tabs>
        <w:rPr>
          <w:rFonts w:ascii="Segoe UI" w:hAnsi="Segoe UI" w:cs="Segoe UI"/>
        </w:rPr>
      </w:pPr>
    </w:p>
    <w:p w14:paraId="5AEB775E" w14:textId="77777777" w:rsidR="00F06845" w:rsidRPr="009F262A" w:rsidRDefault="00F06845" w:rsidP="00F06845">
      <w:pPr>
        <w:rPr>
          <w:rFonts w:ascii="Segoe UI" w:hAnsi="Segoe UI" w:cs="Segoe UI"/>
          <w:b/>
        </w:rPr>
      </w:pPr>
    </w:p>
    <w:p w14:paraId="6F7407FF" w14:textId="72E2D0C6" w:rsidR="00A5629B" w:rsidRPr="00EB0184" w:rsidRDefault="00A5629B" w:rsidP="00A5629B">
      <w:pPr>
        <w:pStyle w:val="Default"/>
        <w:rPr>
          <w:rFonts w:ascii="Segoe UI" w:hAnsi="Segoe UI" w:cs="Segoe UI"/>
          <w:sz w:val="22"/>
          <w:szCs w:val="22"/>
        </w:rPr>
      </w:pPr>
      <w:r w:rsidRPr="00EB0184">
        <w:rPr>
          <w:rFonts w:ascii="Segoe UI" w:hAnsi="Segoe UI" w:cs="Segoe UI"/>
          <w:sz w:val="22"/>
          <w:szCs w:val="22"/>
        </w:rPr>
        <w:t xml:space="preserve">State law requires that an institution of higher education that may be at risk of imminent closure, as determined by the Massachusetts Board of Higher Education (Board) pursuant to </w:t>
      </w:r>
      <w:hyperlink r:id="rId12" w:history="1">
        <w:r w:rsidRPr="00A5629B">
          <w:rPr>
            <w:rStyle w:val="Hyperlink"/>
            <w:rFonts w:ascii="Segoe UI" w:hAnsi="Segoe UI" w:cs="Segoe UI"/>
            <w:sz w:val="22"/>
            <w:szCs w:val="22"/>
          </w:rPr>
          <w:t>M.G.L. c. 69, § 31B</w:t>
        </w:r>
      </w:hyperlink>
      <w:r w:rsidRPr="00EB0184">
        <w:rPr>
          <w:rFonts w:ascii="Segoe UI" w:hAnsi="Segoe UI" w:cs="Segoe UI"/>
          <w:sz w:val="22"/>
          <w:szCs w:val="22"/>
        </w:rPr>
        <w:t xml:space="preserve"> and </w:t>
      </w:r>
      <w:hyperlink r:id="rId13" w:history="1">
        <w:r w:rsidRPr="00A5629B">
          <w:rPr>
            <w:rStyle w:val="Hyperlink"/>
            <w:rFonts w:ascii="Segoe UI" w:hAnsi="Segoe UI" w:cs="Segoe UI"/>
            <w:sz w:val="22"/>
            <w:szCs w:val="22"/>
          </w:rPr>
          <w:t>610 CMR 13.00</w:t>
        </w:r>
      </w:hyperlink>
      <w:r w:rsidRPr="00EB0184">
        <w:rPr>
          <w:rFonts w:ascii="Segoe UI" w:hAnsi="Segoe UI" w:cs="Segoe UI"/>
          <w:sz w:val="22"/>
          <w:szCs w:val="22"/>
        </w:rPr>
        <w:t xml:space="preserve">, must prepare a contingency plan for closure that assures the refund of deposits made by students in anticipation of enrolling or continuing their enrollment at the institution and for the cost of protecting and maintaining student records. </w:t>
      </w:r>
      <w:r>
        <w:rPr>
          <w:rFonts w:ascii="Segoe UI" w:hAnsi="Segoe UI" w:cs="Segoe UI"/>
          <w:sz w:val="22"/>
          <w:szCs w:val="22"/>
        </w:rPr>
        <w:t xml:space="preserve"> </w:t>
      </w:r>
      <w:r w:rsidRPr="00EB0184">
        <w:rPr>
          <w:rFonts w:ascii="Segoe UI" w:hAnsi="Segoe UI" w:cs="Segoe UI"/>
          <w:sz w:val="22"/>
          <w:szCs w:val="22"/>
        </w:rPr>
        <w:t xml:space="preserve">M.G.L. c. 69 § 31B(b)(3)(v). </w:t>
      </w:r>
      <w:r>
        <w:rPr>
          <w:rFonts w:ascii="Segoe UI" w:hAnsi="Segoe UI" w:cs="Segoe UI"/>
          <w:sz w:val="22"/>
          <w:szCs w:val="22"/>
        </w:rPr>
        <w:t xml:space="preserve"> </w:t>
      </w:r>
      <w:r w:rsidRPr="00EB0184">
        <w:rPr>
          <w:rFonts w:ascii="Segoe UI" w:hAnsi="Segoe UI" w:cs="Segoe UI"/>
          <w:sz w:val="22"/>
          <w:szCs w:val="22"/>
        </w:rPr>
        <w:t xml:space="preserve">The Board may require that the institution, as part of a contingency closure plan, furnish a bond with surety or a letter of credit sufficient to meet the costs of so refunding or maintaining.  </w:t>
      </w:r>
      <w:r w:rsidRPr="00EB0184">
        <w:rPr>
          <w:rFonts w:ascii="Segoe UI" w:hAnsi="Segoe UI" w:cs="Segoe UI"/>
          <w:sz w:val="22"/>
          <w:szCs w:val="22"/>
          <w:u w:val="single"/>
        </w:rPr>
        <w:t>Id.</w:t>
      </w:r>
    </w:p>
    <w:p w14:paraId="5163A836" w14:textId="77777777" w:rsidR="00A5629B" w:rsidRPr="00EB0184" w:rsidRDefault="00A5629B" w:rsidP="00A5629B">
      <w:pPr>
        <w:pStyle w:val="Default"/>
        <w:rPr>
          <w:rFonts w:ascii="Segoe UI" w:hAnsi="Segoe UI" w:cs="Segoe UI"/>
          <w:sz w:val="22"/>
          <w:szCs w:val="22"/>
        </w:rPr>
      </w:pPr>
    </w:p>
    <w:p w14:paraId="77391314" w14:textId="16AA28D6" w:rsidR="00A5629B" w:rsidRPr="00EB0184" w:rsidRDefault="00A5629B" w:rsidP="00A5629B">
      <w:pPr>
        <w:pStyle w:val="Default"/>
        <w:rPr>
          <w:rFonts w:ascii="Segoe UI" w:hAnsi="Segoe UI" w:cs="Segoe UI"/>
          <w:sz w:val="22"/>
          <w:szCs w:val="22"/>
        </w:rPr>
      </w:pPr>
      <w:r w:rsidRPr="00EB0184">
        <w:rPr>
          <w:rFonts w:ascii="Segoe UI" w:hAnsi="Segoe UI" w:cs="Segoe UI"/>
          <w:sz w:val="22"/>
          <w:szCs w:val="22"/>
        </w:rPr>
        <w:t>This worksheet shall be used by an institution to determine the amount of surety an institution is required to obtain and furnish as part of its contingency plan for closure, when required to do so by the Board.</w:t>
      </w:r>
      <w:r>
        <w:rPr>
          <w:rStyle w:val="FootnoteReference"/>
          <w:rFonts w:ascii="Segoe UI" w:hAnsi="Segoe UI" w:cs="Segoe UI"/>
          <w:sz w:val="22"/>
          <w:szCs w:val="22"/>
        </w:rPr>
        <w:footnoteReference w:id="2"/>
      </w:r>
      <w:r w:rsidRPr="00EB0184">
        <w:rPr>
          <w:rFonts w:ascii="Segoe UI" w:hAnsi="Segoe UI" w:cs="Segoe UI"/>
          <w:sz w:val="22"/>
          <w:szCs w:val="22"/>
        </w:rPr>
        <w:t xml:space="preserve"> </w:t>
      </w:r>
    </w:p>
    <w:p w14:paraId="639DE2F2" w14:textId="77777777" w:rsidR="00A5629B" w:rsidRPr="00EB0184" w:rsidRDefault="00A5629B" w:rsidP="00A5629B">
      <w:pPr>
        <w:pStyle w:val="Default"/>
        <w:rPr>
          <w:rFonts w:ascii="Segoe UI" w:hAnsi="Segoe UI" w:cs="Segoe UI"/>
          <w:sz w:val="22"/>
          <w:szCs w:val="22"/>
        </w:rPr>
      </w:pPr>
    </w:p>
    <w:p w14:paraId="3B184158" w14:textId="1F4CE70B" w:rsidR="00A5629B" w:rsidRDefault="00A5629B" w:rsidP="00A5629B">
      <w:pPr>
        <w:pStyle w:val="Default"/>
        <w:rPr>
          <w:rFonts w:ascii="Segoe UI" w:hAnsi="Segoe UI" w:cs="Segoe UI"/>
          <w:sz w:val="22"/>
          <w:szCs w:val="22"/>
        </w:rPr>
      </w:pPr>
      <w:r w:rsidRPr="00EB0184">
        <w:rPr>
          <w:rFonts w:ascii="Segoe UI" w:hAnsi="Segoe UI" w:cs="Segoe UI"/>
          <w:sz w:val="22"/>
          <w:szCs w:val="22"/>
        </w:rPr>
        <w:t>The surety amount is based on the following:</w:t>
      </w:r>
    </w:p>
    <w:p w14:paraId="644856E7" w14:textId="77777777" w:rsidR="003542AD" w:rsidRPr="00EB0184" w:rsidRDefault="003542AD" w:rsidP="00A5629B">
      <w:pPr>
        <w:pStyle w:val="Default"/>
        <w:rPr>
          <w:rFonts w:ascii="Segoe UI" w:hAnsi="Segoe UI" w:cs="Segoe UI"/>
          <w:sz w:val="22"/>
          <w:szCs w:val="22"/>
        </w:rPr>
      </w:pPr>
    </w:p>
    <w:p w14:paraId="2C8FA83C" w14:textId="77777777" w:rsidR="00A5629B" w:rsidRPr="00EB0184" w:rsidRDefault="00A5629B" w:rsidP="00A5629B">
      <w:pPr>
        <w:pStyle w:val="Default"/>
        <w:numPr>
          <w:ilvl w:val="0"/>
          <w:numId w:val="1"/>
        </w:numPr>
        <w:rPr>
          <w:rFonts w:ascii="Segoe UI" w:hAnsi="Segoe UI" w:cs="Segoe UI"/>
          <w:sz w:val="22"/>
          <w:szCs w:val="22"/>
        </w:rPr>
      </w:pPr>
      <w:r w:rsidRPr="00EB0184">
        <w:rPr>
          <w:rFonts w:ascii="Segoe UI" w:hAnsi="Segoe UI" w:cs="Segoe UI"/>
          <w:sz w:val="22"/>
          <w:szCs w:val="22"/>
        </w:rPr>
        <w:t>The institution’s average enrollment over the prior 3 years</w:t>
      </w:r>
    </w:p>
    <w:p w14:paraId="1E35C26B" w14:textId="77777777" w:rsidR="00A5629B" w:rsidRPr="00EB0184" w:rsidRDefault="00A5629B" w:rsidP="00A5629B">
      <w:pPr>
        <w:pStyle w:val="Default"/>
        <w:numPr>
          <w:ilvl w:val="0"/>
          <w:numId w:val="1"/>
        </w:numPr>
        <w:rPr>
          <w:rFonts w:ascii="Segoe UI" w:hAnsi="Segoe UI" w:cs="Segoe UI"/>
          <w:sz w:val="22"/>
          <w:szCs w:val="22"/>
        </w:rPr>
      </w:pPr>
      <w:r w:rsidRPr="00EB0184">
        <w:rPr>
          <w:rFonts w:ascii="Segoe UI" w:hAnsi="Segoe UI" w:cs="Segoe UI"/>
          <w:sz w:val="22"/>
          <w:szCs w:val="22"/>
        </w:rPr>
        <w:t>The institution’s average net student tuition and fee revenue over the prior 3 years, for one semester</w:t>
      </w:r>
    </w:p>
    <w:p w14:paraId="0F703454" w14:textId="77777777" w:rsidR="00A5629B" w:rsidRPr="00EB0184" w:rsidRDefault="00A5629B" w:rsidP="00A5629B">
      <w:pPr>
        <w:pStyle w:val="Default"/>
        <w:numPr>
          <w:ilvl w:val="0"/>
          <w:numId w:val="1"/>
        </w:numPr>
        <w:rPr>
          <w:rFonts w:ascii="Segoe UI" w:hAnsi="Segoe UI" w:cs="Segoe UI"/>
          <w:sz w:val="22"/>
          <w:szCs w:val="22"/>
        </w:rPr>
      </w:pPr>
      <w:r w:rsidRPr="00EB0184">
        <w:rPr>
          <w:rFonts w:ascii="Segoe UI" w:hAnsi="Segoe UI" w:cs="Segoe UI"/>
          <w:color w:val="000000" w:themeColor="text1"/>
          <w:sz w:val="22"/>
          <w:szCs w:val="22"/>
        </w:rPr>
        <w:t>The institution’s average net revenue from room and board charged to students over the prior 3 years, for one semester</w:t>
      </w:r>
    </w:p>
    <w:p w14:paraId="5E94297E" w14:textId="77777777" w:rsidR="00A5629B" w:rsidRPr="00EB0184" w:rsidRDefault="00A5629B" w:rsidP="00A5629B">
      <w:pPr>
        <w:pStyle w:val="Default"/>
        <w:numPr>
          <w:ilvl w:val="0"/>
          <w:numId w:val="1"/>
        </w:numPr>
        <w:rPr>
          <w:rFonts w:ascii="Segoe UI" w:hAnsi="Segoe UI" w:cs="Segoe UI"/>
          <w:sz w:val="22"/>
          <w:szCs w:val="22"/>
        </w:rPr>
      </w:pPr>
      <w:r w:rsidRPr="00EB0184">
        <w:rPr>
          <w:rFonts w:ascii="Segoe UI" w:hAnsi="Segoe UI" w:cs="Segoe UI"/>
          <w:sz w:val="22"/>
          <w:szCs w:val="22"/>
        </w:rPr>
        <w:t>The average number of new students over the prior 3 years</w:t>
      </w:r>
    </w:p>
    <w:p w14:paraId="7508C2B4" w14:textId="77777777" w:rsidR="00A5629B" w:rsidRPr="00EB0184" w:rsidRDefault="00A5629B" w:rsidP="00A5629B">
      <w:pPr>
        <w:pStyle w:val="Default"/>
        <w:numPr>
          <w:ilvl w:val="0"/>
          <w:numId w:val="1"/>
        </w:numPr>
        <w:rPr>
          <w:rFonts w:ascii="Segoe UI" w:hAnsi="Segoe UI" w:cs="Segoe UI"/>
          <w:sz w:val="22"/>
          <w:szCs w:val="22"/>
        </w:rPr>
      </w:pPr>
      <w:r w:rsidRPr="00EB0184">
        <w:rPr>
          <w:rFonts w:ascii="Segoe UI" w:hAnsi="Segoe UI" w:cs="Segoe UI"/>
          <w:sz w:val="22"/>
          <w:szCs w:val="22"/>
        </w:rPr>
        <w:t>The required admissions deposit for a new student</w:t>
      </w:r>
    </w:p>
    <w:p w14:paraId="6C225DDD" w14:textId="77777777" w:rsidR="00A5629B" w:rsidRPr="00EB0184" w:rsidRDefault="00A5629B" w:rsidP="00A5629B">
      <w:pPr>
        <w:pStyle w:val="Default"/>
        <w:numPr>
          <w:ilvl w:val="0"/>
          <w:numId w:val="1"/>
        </w:numPr>
        <w:rPr>
          <w:rFonts w:ascii="Segoe UI" w:hAnsi="Segoe UI" w:cs="Segoe UI"/>
          <w:sz w:val="22"/>
          <w:szCs w:val="22"/>
        </w:rPr>
      </w:pPr>
      <w:r w:rsidRPr="00EB0184">
        <w:rPr>
          <w:rFonts w:ascii="Segoe UI" w:hAnsi="Segoe UI" w:cs="Segoe UI"/>
          <w:sz w:val="22"/>
          <w:szCs w:val="22"/>
        </w:rPr>
        <w:t>The number of transcripts held by the institution from the past 60 years</w:t>
      </w:r>
    </w:p>
    <w:p w14:paraId="7D77C577" w14:textId="77777777" w:rsidR="00A5629B" w:rsidRPr="00EB0184" w:rsidRDefault="00A5629B" w:rsidP="00A5629B">
      <w:pPr>
        <w:pStyle w:val="Default"/>
        <w:numPr>
          <w:ilvl w:val="0"/>
          <w:numId w:val="1"/>
        </w:numPr>
        <w:rPr>
          <w:rFonts w:ascii="Segoe UI" w:hAnsi="Segoe UI" w:cs="Segoe UI"/>
          <w:sz w:val="22"/>
          <w:szCs w:val="22"/>
        </w:rPr>
      </w:pPr>
      <w:r w:rsidRPr="00EB0184">
        <w:rPr>
          <w:rFonts w:ascii="Segoe UI" w:hAnsi="Segoe UI" w:cs="Segoe UI"/>
          <w:sz w:val="22"/>
          <w:szCs w:val="22"/>
        </w:rPr>
        <w:t>The number of institutions for which the institution holds student records</w:t>
      </w:r>
    </w:p>
    <w:p w14:paraId="76DF72DE" w14:textId="77777777" w:rsidR="00A5629B" w:rsidRPr="00EB0184" w:rsidRDefault="00A5629B" w:rsidP="00A5629B">
      <w:pPr>
        <w:pStyle w:val="Default"/>
        <w:rPr>
          <w:rFonts w:ascii="Segoe UI" w:hAnsi="Segoe UI" w:cs="Segoe UI"/>
          <w:sz w:val="22"/>
          <w:szCs w:val="22"/>
        </w:rPr>
      </w:pPr>
    </w:p>
    <w:p w14:paraId="7546AC9A" w14:textId="1241416C" w:rsidR="00A5629B" w:rsidRDefault="00A5629B" w:rsidP="00A5629B">
      <w:pPr>
        <w:pStyle w:val="Default"/>
        <w:rPr>
          <w:rFonts w:ascii="Segoe UI" w:hAnsi="Segoe UI" w:cs="Segoe UI"/>
          <w:sz w:val="22"/>
          <w:szCs w:val="22"/>
        </w:rPr>
      </w:pPr>
      <w:r w:rsidRPr="00EB0184">
        <w:rPr>
          <w:rFonts w:ascii="Segoe UI" w:hAnsi="Segoe UI" w:cs="Segoe UI"/>
          <w:sz w:val="22"/>
          <w:szCs w:val="22"/>
        </w:rPr>
        <w:t>The institution’s calculation is subject to review by the Department of Higher Education (Department) and must be approved prior to the institution obtaining the surety. The Department may request, and the institution must provide, documentation to support its calculation.</w:t>
      </w:r>
    </w:p>
    <w:p w14:paraId="6C7778E4" w14:textId="77777777" w:rsidR="00A5629B" w:rsidRDefault="00A5629B">
      <w:pPr>
        <w:rPr>
          <w:rFonts w:ascii="Segoe UI" w:hAnsi="Segoe UI" w:cs="Segoe UI"/>
          <w:color w:val="000000"/>
        </w:rPr>
      </w:pPr>
      <w:r>
        <w:rPr>
          <w:rFonts w:ascii="Segoe UI" w:hAnsi="Segoe UI" w:cs="Segoe UI"/>
        </w:rPr>
        <w:br w:type="page"/>
      </w:r>
    </w:p>
    <w:p w14:paraId="335876D3" w14:textId="77777777" w:rsidR="00A5629B" w:rsidRPr="00EB0184" w:rsidRDefault="00A5629B" w:rsidP="00A5629B">
      <w:pPr>
        <w:pStyle w:val="Default"/>
        <w:rPr>
          <w:rFonts w:ascii="Segoe UI" w:hAnsi="Segoe UI" w:cs="Segoe UI"/>
          <w:sz w:val="22"/>
          <w:szCs w:val="22"/>
        </w:rPr>
      </w:pPr>
    </w:p>
    <w:tbl>
      <w:tblPr>
        <w:tblStyle w:val="GridTable1Light"/>
        <w:tblW w:w="8635" w:type="dxa"/>
        <w:tblLayout w:type="fixed"/>
        <w:tblLook w:val="0020" w:firstRow="1" w:lastRow="0" w:firstColumn="0" w:lastColumn="0" w:noHBand="0" w:noVBand="0"/>
      </w:tblPr>
      <w:tblGrid>
        <w:gridCol w:w="7195"/>
        <w:gridCol w:w="1440"/>
      </w:tblGrid>
      <w:tr w:rsidR="00A5629B" w:rsidRPr="00EB0184" w14:paraId="3A2ED989" w14:textId="77777777" w:rsidTr="002C2BA1">
        <w:trPr>
          <w:cnfStyle w:val="100000000000" w:firstRow="1" w:lastRow="0" w:firstColumn="0" w:lastColumn="0" w:oddVBand="0" w:evenVBand="0" w:oddHBand="0" w:evenHBand="0" w:firstRowFirstColumn="0" w:firstRowLastColumn="0" w:lastRowFirstColumn="0" w:lastRowLastColumn="0"/>
          <w:trHeight w:val="355"/>
        </w:trPr>
        <w:tc>
          <w:tcPr>
            <w:tcW w:w="8635" w:type="dxa"/>
            <w:gridSpan w:val="2"/>
            <w:tcBorders>
              <w:top w:val="nil"/>
              <w:left w:val="nil"/>
              <w:right w:val="nil"/>
            </w:tcBorders>
          </w:tcPr>
          <w:p w14:paraId="63D33F43" w14:textId="627846D7" w:rsidR="00A5629B" w:rsidRPr="00C54BD7" w:rsidRDefault="00A5629B">
            <w:pPr>
              <w:pStyle w:val="Default"/>
              <w:rPr>
                <w:rFonts w:ascii="Segoe UI" w:hAnsi="Segoe UI" w:cs="Segoe UI"/>
                <w:sz w:val="22"/>
                <w:szCs w:val="22"/>
              </w:rPr>
            </w:pPr>
            <w:r w:rsidRPr="00C54BD7">
              <w:rPr>
                <w:rFonts w:ascii="Segoe UI" w:hAnsi="Segoe UI" w:cs="Segoe UI"/>
                <w:sz w:val="22"/>
                <w:szCs w:val="22"/>
              </w:rPr>
              <w:t xml:space="preserve">Please use the following worksheet to calculate the surety for </w:t>
            </w:r>
            <w:r w:rsidR="00211A8B" w:rsidRPr="00211A8B">
              <w:rPr>
                <w:rFonts w:ascii="Segoe UI" w:hAnsi="Segoe UI" w:cs="Segoe UI"/>
                <w:sz w:val="22"/>
                <w:szCs w:val="22"/>
                <w:highlight w:val="yellow"/>
              </w:rPr>
              <w:fldChar w:fldCharType="begin">
                <w:ffData>
                  <w:name w:val="Text1"/>
                  <w:enabled/>
                  <w:calcOnExit w:val="0"/>
                  <w:textInput>
                    <w:default w:val="[INSTITUTION]"/>
                  </w:textInput>
                </w:ffData>
              </w:fldChar>
            </w:r>
            <w:bookmarkStart w:id="0" w:name="Text1"/>
            <w:r w:rsidR="00211A8B" w:rsidRPr="00211A8B">
              <w:rPr>
                <w:rFonts w:ascii="Segoe UI" w:hAnsi="Segoe UI" w:cs="Segoe UI"/>
                <w:sz w:val="22"/>
                <w:szCs w:val="22"/>
                <w:highlight w:val="yellow"/>
              </w:rPr>
              <w:instrText xml:space="preserve"> FORMTEXT </w:instrText>
            </w:r>
            <w:r w:rsidR="00211A8B" w:rsidRPr="00211A8B">
              <w:rPr>
                <w:rFonts w:ascii="Segoe UI" w:hAnsi="Segoe UI" w:cs="Segoe UI"/>
                <w:sz w:val="22"/>
                <w:szCs w:val="22"/>
                <w:highlight w:val="yellow"/>
              </w:rPr>
            </w:r>
            <w:r w:rsidR="00211A8B" w:rsidRPr="00211A8B">
              <w:rPr>
                <w:rFonts w:ascii="Segoe UI" w:hAnsi="Segoe UI" w:cs="Segoe UI"/>
                <w:sz w:val="22"/>
                <w:szCs w:val="22"/>
                <w:highlight w:val="yellow"/>
              </w:rPr>
              <w:fldChar w:fldCharType="separate"/>
            </w:r>
            <w:r w:rsidR="00211A8B" w:rsidRPr="00211A8B">
              <w:rPr>
                <w:rFonts w:ascii="Segoe UI" w:hAnsi="Segoe UI" w:cs="Segoe UI"/>
                <w:noProof/>
                <w:sz w:val="22"/>
                <w:szCs w:val="22"/>
                <w:highlight w:val="yellow"/>
              </w:rPr>
              <w:t>[INSTITUTION]</w:t>
            </w:r>
            <w:r w:rsidR="00211A8B" w:rsidRPr="00211A8B">
              <w:rPr>
                <w:rFonts w:ascii="Segoe UI" w:hAnsi="Segoe UI" w:cs="Segoe UI"/>
                <w:sz w:val="22"/>
                <w:szCs w:val="22"/>
                <w:highlight w:val="yellow"/>
              </w:rPr>
              <w:fldChar w:fldCharType="end"/>
            </w:r>
            <w:bookmarkEnd w:id="0"/>
            <w:r w:rsidRPr="00C54BD7">
              <w:rPr>
                <w:rFonts w:ascii="Segoe UI" w:hAnsi="Segoe UI" w:cs="Segoe UI"/>
                <w:sz w:val="22"/>
                <w:szCs w:val="22"/>
              </w:rPr>
              <w:t xml:space="preserve">. </w:t>
            </w:r>
          </w:p>
        </w:tc>
      </w:tr>
      <w:tr w:rsidR="00A5629B" w:rsidRPr="00EB0184" w14:paraId="5A3E347D" w14:textId="77777777" w:rsidTr="002C2BA1">
        <w:trPr>
          <w:trHeight w:val="20"/>
        </w:trPr>
        <w:tc>
          <w:tcPr>
            <w:tcW w:w="7195" w:type="dxa"/>
            <w:tcBorders>
              <w:top w:val="single" w:sz="12" w:space="0" w:color="auto"/>
              <w:left w:val="nil"/>
              <w:bottom w:val="single" w:sz="2" w:space="0" w:color="auto"/>
              <w:right w:val="dotted" w:sz="4" w:space="0" w:color="auto"/>
            </w:tcBorders>
          </w:tcPr>
          <w:p w14:paraId="6E122AAB" w14:textId="3BB06967" w:rsidR="00A5629B" w:rsidRPr="00C54BD7" w:rsidRDefault="00A5629B" w:rsidP="00A5629B">
            <w:pPr>
              <w:pStyle w:val="Default"/>
              <w:spacing w:before="60" w:after="60"/>
              <w:rPr>
                <w:rFonts w:ascii="Segoe UI" w:hAnsi="Segoe UI" w:cs="Segoe UI"/>
                <w:sz w:val="22"/>
                <w:szCs w:val="22"/>
              </w:rPr>
            </w:pPr>
            <w:r w:rsidRPr="00C54BD7">
              <w:rPr>
                <w:rFonts w:ascii="Segoe UI" w:hAnsi="Segoe UI" w:cs="Segoe UI"/>
                <w:b/>
                <w:bCs/>
                <w:sz w:val="22"/>
                <w:szCs w:val="22"/>
              </w:rPr>
              <w:t>1.</w:t>
            </w:r>
            <w:r w:rsidRPr="00C54BD7">
              <w:rPr>
                <w:rFonts w:ascii="Segoe UI" w:hAnsi="Segoe UI" w:cs="Segoe UI"/>
                <w:color w:val="auto"/>
                <w:sz w:val="22"/>
                <w:szCs w:val="22"/>
              </w:rPr>
              <w:t xml:space="preserve"> The average net revenue from tuition </w:t>
            </w:r>
            <w:r w:rsidRPr="00C54BD7">
              <w:rPr>
                <w:rStyle w:val="normaltextrun"/>
                <w:rFonts w:ascii="Segoe UI" w:hAnsi="Segoe UI" w:cs="Segoe UI"/>
                <w:color w:val="auto"/>
                <w:sz w:val="22"/>
                <w:szCs w:val="22"/>
                <w:shd w:val="clear" w:color="auto" w:fill="FFFFFF"/>
              </w:rPr>
              <w:t xml:space="preserve">and fees charged to students over the prior three years, </w:t>
            </w:r>
            <w:r w:rsidRPr="00C54BD7">
              <w:rPr>
                <w:rStyle w:val="normaltextrun"/>
                <w:rFonts w:ascii="Segoe UI" w:hAnsi="Segoe UI" w:cs="Segoe UI"/>
                <w:b/>
                <w:bCs/>
                <w:color w:val="auto"/>
                <w:sz w:val="22"/>
                <w:szCs w:val="22"/>
                <w:shd w:val="clear" w:color="auto" w:fill="FFFFFF"/>
              </w:rPr>
              <w:t>plus</w:t>
            </w:r>
            <w:r w:rsidRPr="00C54BD7">
              <w:rPr>
                <w:rStyle w:val="normaltextrun"/>
                <w:rFonts w:ascii="Segoe UI" w:hAnsi="Segoe UI" w:cs="Segoe UI"/>
                <w:color w:val="auto"/>
                <w:sz w:val="22"/>
                <w:szCs w:val="22"/>
                <w:shd w:val="clear" w:color="auto" w:fill="FFFFFF"/>
              </w:rPr>
              <w:t xml:space="preserve"> the average net revenue from room and board charged to students over the prior three years,</w:t>
            </w:r>
            <w:r w:rsidRPr="00C54BD7">
              <w:rPr>
                <w:rFonts w:ascii="Segoe UI" w:hAnsi="Segoe UI" w:cs="Segoe UI"/>
                <w:color w:val="auto"/>
                <w:sz w:val="22"/>
                <w:szCs w:val="22"/>
              </w:rPr>
              <w:t xml:space="preserve"> </w:t>
            </w:r>
            <w:r w:rsidRPr="00C54BD7">
              <w:rPr>
                <w:rFonts w:ascii="Segoe UI" w:hAnsi="Segoe UI" w:cs="Segoe UI"/>
                <w:b/>
                <w:bCs/>
                <w:color w:val="auto"/>
                <w:sz w:val="22"/>
                <w:szCs w:val="22"/>
              </w:rPr>
              <w:t>divided</w:t>
            </w:r>
            <w:r w:rsidRPr="00C54BD7">
              <w:rPr>
                <w:rFonts w:ascii="Segoe UI" w:hAnsi="Segoe UI" w:cs="Segoe UI"/>
                <w:color w:val="auto"/>
                <w:sz w:val="22"/>
                <w:szCs w:val="22"/>
              </w:rPr>
              <w:t xml:space="preserve"> by 2.</w:t>
            </w:r>
          </w:p>
        </w:tc>
        <w:tc>
          <w:tcPr>
            <w:tcW w:w="1440" w:type="dxa"/>
            <w:tcBorders>
              <w:top w:val="single" w:sz="12" w:space="0" w:color="auto"/>
              <w:left w:val="dotted" w:sz="4" w:space="0" w:color="auto"/>
              <w:bottom w:val="single" w:sz="2" w:space="0" w:color="auto"/>
              <w:right w:val="nil"/>
            </w:tcBorders>
          </w:tcPr>
          <w:p w14:paraId="49FBC194" w14:textId="10981825" w:rsidR="00A5629B" w:rsidRPr="00C54BD7" w:rsidRDefault="00194764" w:rsidP="00A5629B">
            <w:pPr>
              <w:pStyle w:val="Default"/>
              <w:spacing w:before="60" w:after="60"/>
              <w:jc w:val="right"/>
              <w:rPr>
                <w:rFonts w:ascii="Segoe UI" w:hAnsi="Segoe UI" w:cs="Segoe UI"/>
                <w:sz w:val="22"/>
                <w:szCs w:val="22"/>
              </w:rPr>
            </w:pPr>
            <w:r>
              <w:rPr>
                <w:rFonts w:ascii="Segoe UI" w:hAnsi="Segoe UI" w:cs="Segoe UI"/>
                <w:sz w:val="22"/>
                <w:szCs w:val="22"/>
              </w:rPr>
              <w:fldChar w:fldCharType="begin">
                <w:ffData>
                  <w:name w:val="Text2"/>
                  <w:enabled/>
                  <w:calcOnExit w:val="0"/>
                  <w:textInput>
                    <w:type w:val="number"/>
                    <w:default w:val="$0.00"/>
                    <w:format w:val="$#,##0.00;($#,##0.00)"/>
                  </w:textInput>
                </w:ffData>
              </w:fldChar>
            </w:r>
            <w:bookmarkStart w:id="1" w:name="Text2"/>
            <w:r>
              <w:rPr>
                <w:rFonts w:ascii="Segoe UI" w:hAnsi="Segoe UI" w:cs="Segoe UI"/>
                <w:sz w:val="22"/>
                <w:szCs w:val="22"/>
              </w:rPr>
              <w:instrText xml:space="preserve"> FORMTEXT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noProof/>
                <w:sz w:val="22"/>
                <w:szCs w:val="22"/>
              </w:rPr>
              <w:t>$0.00</w:t>
            </w:r>
            <w:r>
              <w:rPr>
                <w:rFonts w:ascii="Segoe UI" w:hAnsi="Segoe UI" w:cs="Segoe UI"/>
                <w:sz w:val="22"/>
                <w:szCs w:val="22"/>
              </w:rPr>
              <w:fldChar w:fldCharType="end"/>
            </w:r>
            <w:bookmarkEnd w:id="1"/>
          </w:p>
        </w:tc>
      </w:tr>
      <w:tr w:rsidR="00A5629B" w:rsidRPr="00EB0184" w14:paraId="50F0759D" w14:textId="77777777" w:rsidTr="002C2BA1">
        <w:trPr>
          <w:trHeight w:val="20"/>
        </w:trPr>
        <w:tc>
          <w:tcPr>
            <w:tcW w:w="7195" w:type="dxa"/>
            <w:tcBorders>
              <w:top w:val="single" w:sz="2" w:space="0" w:color="auto"/>
              <w:left w:val="nil"/>
              <w:bottom w:val="single" w:sz="2" w:space="0" w:color="auto"/>
              <w:right w:val="dotted" w:sz="4" w:space="0" w:color="auto"/>
            </w:tcBorders>
          </w:tcPr>
          <w:p w14:paraId="1F708491" w14:textId="77777777" w:rsidR="00A5629B" w:rsidRPr="00C54BD7" w:rsidRDefault="00A5629B">
            <w:pPr>
              <w:pStyle w:val="Default"/>
              <w:spacing w:before="60" w:after="60"/>
              <w:rPr>
                <w:rFonts w:ascii="Segoe UI" w:hAnsi="Segoe UI" w:cs="Segoe UI"/>
                <w:sz w:val="22"/>
                <w:szCs w:val="22"/>
              </w:rPr>
            </w:pPr>
            <w:r w:rsidRPr="00C54BD7">
              <w:rPr>
                <w:rFonts w:ascii="Segoe UI" w:hAnsi="Segoe UI" w:cs="Segoe UI"/>
                <w:b/>
                <w:bCs/>
                <w:sz w:val="22"/>
                <w:szCs w:val="22"/>
              </w:rPr>
              <w:t>2.</w:t>
            </w:r>
            <w:r w:rsidRPr="00C54BD7">
              <w:rPr>
                <w:rFonts w:ascii="Segoe UI" w:hAnsi="Segoe UI" w:cs="Segoe UI"/>
                <w:sz w:val="22"/>
                <w:szCs w:val="22"/>
              </w:rPr>
              <w:t xml:space="preserve"> The average number of new students over the prior 3 years multiplied by the required deposit for a new student </w:t>
            </w:r>
          </w:p>
        </w:tc>
        <w:tc>
          <w:tcPr>
            <w:tcW w:w="1440" w:type="dxa"/>
            <w:tcBorders>
              <w:top w:val="single" w:sz="2" w:space="0" w:color="auto"/>
              <w:left w:val="dotted" w:sz="4" w:space="0" w:color="auto"/>
              <w:bottom w:val="single" w:sz="2" w:space="0" w:color="auto"/>
              <w:right w:val="nil"/>
            </w:tcBorders>
          </w:tcPr>
          <w:p w14:paraId="3A9A6A65" w14:textId="5A587742" w:rsidR="00A5629B" w:rsidRPr="00C54BD7" w:rsidRDefault="00194764" w:rsidP="00A5629B">
            <w:pPr>
              <w:pStyle w:val="Default"/>
              <w:spacing w:before="60" w:after="60"/>
              <w:jc w:val="right"/>
              <w:rPr>
                <w:rFonts w:ascii="Segoe UI" w:hAnsi="Segoe UI" w:cs="Segoe UI"/>
                <w:sz w:val="22"/>
                <w:szCs w:val="22"/>
              </w:rPr>
            </w:pPr>
            <w:r>
              <w:rPr>
                <w:rFonts w:ascii="Segoe UI" w:hAnsi="Segoe UI" w:cs="Segoe UI"/>
                <w:sz w:val="22"/>
                <w:szCs w:val="22"/>
              </w:rPr>
              <w:fldChar w:fldCharType="begin">
                <w:ffData>
                  <w:name w:val="Text2"/>
                  <w:enabled/>
                  <w:calcOnExit w:val="0"/>
                  <w:textInput>
                    <w:type w:val="number"/>
                    <w:default w:val="$0.00"/>
                    <w:format w:val="$#,##0.00;($#,##0.00)"/>
                  </w:textInput>
                </w:ffData>
              </w:fldChar>
            </w:r>
            <w:r>
              <w:rPr>
                <w:rFonts w:ascii="Segoe UI" w:hAnsi="Segoe UI" w:cs="Segoe UI"/>
                <w:sz w:val="22"/>
                <w:szCs w:val="22"/>
              </w:rPr>
              <w:instrText xml:space="preserve"> FORMTEXT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noProof/>
                <w:sz w:val="22"/>
                <w:szCs w:val="22"/>
              </w:rPr>
              <w:t>$0.00</w:t>
            </w:r>
            <w:r>
              <w:rPr>
                <w:rFonts w:ascii="Segoe UI" w:hAnsi="Segoe UI" w:cs="Segoe UI"/>
                <w:sz w:val="22"/>
                <w:szCs w:val="22"/>
              </w:rPr>
              <w:fldChar w:fldCharType="end"/>
            </w:r>
            <w:r w:rsidR="00A5629B" w:rsidRPr="00C54BD7">
              <w:rPr>
                <w:rFonts w:ascii="Segoe UI" w:hAnsi="Segoe UI" w:cs="Segoe UI"/>
                <w:sz w:val="22"/>
                <w:szCs w:val="22"/>
              </w:rPr>
              <w:t xml:space="preserve"> </w:t>
            </w:r>
          </w:p>
        </w:tc>
      </w:tr>
      <w:tr w:rsidR="00A5629B" w:rsidRPr="00EB0184" w14:paraId="6F58AC20" w14:textId="77777777" w:rsidTr="002C2BA1">
        <w:trPr>
          <w:trHeight w:val="20"/>
        </w:trPr>
        <w:tc>
          <w:tcPr>
            <w:tcW w:w="7195" w:type="dxa"/>
            <w:tcBorders>
              <w:top w:val="single" w:sz="2" w:space="0" w:color="auto"/>
              <w:left w:val="nil"/>
              <w:bottom w:val="single" w:sz="2" w:space="0" w:color="auto"/>
              <w:right w:val="dotted" w:sz="4" w:space="0" w:color="auto"/>
            </w:tcBorders>
          </w:tcPr>
          <w:p w14:paraId="33DCE878" w14:textId="77777777" w:rsidR="00A5629B" w:rsidRPr="00C54BD7" w:rsidRDefault="00A5629B">
            <w:pPr>
              <w:pStyle w:val="Default"/>
              <w:spacing w:before="60" w:after="60"/>
              <w:rPr>
                <w:rFonts w:ascii="Segoe UI" w:hAnsi="Segoe UI" w:cs="Segoe UI"/>
                <w:sz w:val="22"/>
                <w:szCs w:val="22"/>
              </w:rPr>
            </w:pPr>
            <w:r w:rsidRPr="00C54BD7">
              <w:rPr>
                <w:rFonts w:ascii="Segoe UI" w:hAnsi="Segoe UI" w:cs="Segoe UI"/>
                <w:b/>
                <w:bCs/>
                <w:sz w:val="22"/>
                <w:szCs w:val="22"/>
              </w:rPr>
              <w:t>3.</w:t>
            </w:r>
            <w:r w:rsidRPr="00C54BD7">
              <w:rPr>
                <w:rFonts w:ascii="Segoe UI" w:hAnsi="Segoe UI" w:cs="Segoe UI"/>
                <w:sz w:val="22"/>
                <w:szCs w:val="22"/>
              </w:rPr>
              <w:t xml:space="preserve"> The number of transcripts from the past 60 years multiplied by $0.60 </w:t>
            </w:r>
          </w:p>
        </w:tc>
        <w:tc>
          <w:tcPr>
            <w:tcW w:w="1440" w:type="dxa"/>
            <w:tcBorders>
              <w:top w:val="single" w:sz="2" w:space="0" w:color="auto"/>
              <w:left w:val="dotted" w:sz="4" w:space="0" w:color="auto"/>
              <w:bottom w:val="single" w:sz="2" w:space="0" w:color="auto"/>
              <w:right w:val="nil"/>
            </w:tcBorders>
          </w:tcPr>
          <w:p w14:paraId="3CCF14AB" w14:textId="5D345FEC" w:rsidR="00A5629B" w:rsidRPr="00C54BD7" w:rsidRDefault="00194764" w:rsidP="00A5629B">
            <w:pPr>
              <w:pStyle w:val="Default"/>
              <w:spacing w:before="60" w:after="60"/>
              <w:jc w:val="right"/>
              <w:rPr>
                <w:rFonts w:ascii="Segoe UI" w:hAnsi="Segoe UI" w:cs="Segoe UI"/>
                <w:sz w:val="22"/>
                <w:szCs w:val="22"/>
              </w:rPr>
            </w:pPr>
            <w:r>
              <w:rPr>
                <w:rFonts w:ascii="Segoe UI" w:hAnsi="Segoe UI" w:cs="Segoe UI"/>
                <w:sz w:val="22"/>
                <w:szCs w:val="22"/>
              </w:rPr>
              <w:fldChar w:fldCharType="begin">
                <w:ffData>
                  <w:name w:val="Text2"/>
                  <w:enabled/>
                  <w:calcOnExit w:val="0"/>
                  <w:textInput>
                    <w:type w:val="number"/>
                    <w:default w:val="$0.00"/>
                    <w:format w:val="$#,##0.00;($#,##0.00)"/>
                  </w:textInput>
                </w:ffData>
              </w:fldChar>
            </w:r>
            <w:r>
              <w:rPr>
                <w:rFonts w:ascii="Segoe UI" w:hAnsi="Segoe UI" w:cs="Segoe UI"/>
                <w:sz w:val="22"/>
                <w:szCs w:val="22"/>
              </w:rPr>
              <w:instrText xml:space="preserve"> FORMTEXT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noProof/>
                <w:sz w:val="22"/>
                <w:szCs w:val="22"/>
              </w:rPr>
              <w:t>$0.00</w:t>
            </w:r>
            <w:r>
              <w:rPr>
                <w:rFonts w:ascii="Segoe UI" w:hAnsi="Segoe UI" w:cs="Segoe UI"/>
                <w:sz w:val="22"/>
                <w:szCs w:val="22"/>
              </w:rPr>
              <w:fldChar w:fldCharType="end"/>
            </w:r>
            <w:r w:rsidR="00A5629B" w:rsidRPr="00C54BD7">
              <w:rPr>
                <w:rFonts w:ascii="Segoe UI" w:hAnsi="Segoe UI" w:cs="Segoe UI"/>
                <w:sz w:val="22"/>
                <w:szCs w:val="22"/>
              </w:rPr>
              <w:t xml:space="preserve"> </w:t>
            </w:r>
          </w:p>
        </w:tc>
      </w:tr>
      <w:tr w:rsidR="00A5629B" w:rsidRPr="00EB0184" w14:paraId="60209125" w14:textId="77777777" w:rsidTr="002C2BA1">
        <w:trPr>
          <w:trHeight w:val="20"/>
        </w:trPr>
        <w:tc>
          <w:tcPr>
            <w:tcW w:w="7195" w:type="dxa"/>
            <w:tcBorders>
              <w:top w:val="single" w:sz="2" w:space="0" w:color="auto"/>
              <w:left w:val="nil"/>
              <w:bottom w:val="single" w:sz="12" w:space="0" w:color="auto"/>
              <w:right w:val="dotted" w:sz="4" w:space="0" w:color="auto"/>
            </w:tcBorders>
          </w:tcPr>
          <w:p w14:paraId="37D036D2" w14:textId="77777777" w:rsidR="00A5629B" w:rsidRPr="00C54BD7" w:rsidRDefault="00A5629B">
            <w:pPr>
              <w:pStyle w:val="Default"/>
              <w:spacing w:before="60" w:after="60"/>
              <w:rPr>
                <w:rFonts w:ascii="Segoe UI" w:hAnsi="Segoe UI" w:cs="Segoe UI"/>
                <w:sz w:val="22"/>
                <w:szCs w:val="22"/>
              </w:rPr>
            </w:pPr>
            <w:r w:rsidRPr="00C54BD7">
              <w:rPr>
                <w:rFonts w:ascii="Segoe UI" w:hAnsi="Segoe UI" w:cs="Segoe UI"/>
                <w:b/>
                <w:bCs/>
                <w:sz w:val="22"/>
                <w:szCs w:val="22"/>
              </w:rPr>
              <w:t>4.</w:t>
            </w:r>
            <w:r w:rsidRPr="00C54BD7">
              <w:rPr>
                <w:rFonts w:ascii="Segoe UI" w:hAnsi="Segoe UI" w:cs="Segoe UI"/>
                <w:sz w:val="22"/>
                <w:szCs w:val="22"/>
              </w:rPr>
              <w:t xml:space="preserve"> $3000 multiplied by the number of institutions for which the institution holds student records</w:t>
            </w:r>
          </w:p>
        </w:tc>
        <w:tc>
          <w:tcPr>
            <w:tcW w:w="1440" w:type="dxa"/>
            <w:tcBorders>
              <w:top w:val="single" w:sz="2" w:space="0" w:color="auto"/>
              <w:left w:val="dotted" w:sz="4" w:space="0" w:color="auto"/>
              <w:bottom w:val="single" w:sz="12" w:space="0" w:color="auto"/>
              <w:right w:val="nil"/>
            </w:tcBorders>
          </w:tcPr>
          <w:p w14:paraId="49D3DF0B" w14:textId="5D126B13" w:rsidR="00A5629B" w:rsidRPr="00C54BD7" w:rsidRDefault="00194764" w:rsidP="00A5629B">
            <w:pPr>
              <w:pStyle w:val="Default"/>
              <w:spacing w:before="60" w:after="60"/>
              <w:jc w:val="right"/>
              <w:rPr>
                <w:rFonts w:ascii="Segoe UI" w:hAnsi="Segoe UI" w:cs="Segoe UI"/>
                <w:sz w:val="22"/>
                <w:szCs w:val="22"/>
              </w:rPr>
            </w:pPr>
            <w:r>
              <w:rPr>
                <w:rFonts w:ascii="Segoe UI" w:hAnsi="Segoe UI" w:cs="Segoe UI"/>
                <w:sz w:val="22"/>
                <w:szCs w:val="22"/>
              </w:rPr>
              <w:fldChar w:fldCharType="begin">
                <w:ffData>
                  <w:name w:val="Text2"/>
                  <w:enabled/>
                  <w:calcOnExit w:val="0"/>
                  <w:textInput>
                    <w:type w:val="number"/>
                    <w:default w:val="$0.00"/>
                    <w:format w:val="$#,##0.00;($#,##0.00)"/>
                  </w:textInput>
                </w:ffData>
              </w:fldChar>
            </w:r>
            <w:r>
              <w:rPr>
                <w:rFonts w:ascii="Segoe UI" w:hAnsi="Segoe UI" w:cs="Segoe UI"/>
                <w:sz w:val="22"/>
                <w:szCs w:val="22"/>
              </w:rPr>
              <w:instrText xml:space="preserve"> FORMTEXT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noProof/>
                <w:sz w:val="22"/>
                <w:szCs w:val="22"/>
              </w:rPr>
              <w:t>$0.00</w:t>
            </w:r>
            <w:r>
              <w:rPr>
                <w:rFonts w:ascii="Segoe UI" w:hAnsi="Segoe UI" w:cs="Segoe UI"/>
                <w:sz w:val="22"/>
                <w:szCs w:val="22"/>
              </w:rPr>
              <w:fldChar w:fldCharType="end"/>
            </w:r>
          </w:p>
        </w:tc>
      </w:tr>
      <w:tr w:rsidR="00A5629B" w:rsidRPr="00EB0184" w14:paraId="7158D081" w14:textId="77777777" w:rsidTr="002C2BA1">
        <w:trPr>
          <w:trHeight w:val="432"/>
        </w:trPr>
        <w:tc>
          <w:tcPr>
            <w:tcW w:w="7195" w:type="dxa"/>
            <w:tcBorders>
              <w:top w:val="single" w:sz="12" w:space="0" w:color="auto"/>
              <w:left w:val="nil"/>
              <w:bottom w:val="single" w:sz="12" w:space="0" w:color="000000"/>
              <w:right w:val="dotted" w:sz="4" w:space="0" w:color="auto"/>
            </w:tcBorders>
          </w:tcPr>
          <w:p w14:paraId="5C6D24B6" w14:textId="77777777" w:rsidR="00A5629B" w:rsidRPr="00194764" w:rsidRDefault="00A5629B">
            <w:pPr>
              <w:pStyle w:val="Default"/>
              <w:spacing w:before="60" w:after="60"/>
              <w:rPr>
                <w:rFonts w:ascii="Segoe UI" w:hAnsi="Segoe UI" w:cs="Segoe UI"/>
                <w:b/>
                <w:sz w:val="22"/>
                <w:szCs w:val="22"/>
              </w:rPr>
            </w:pPr>
            <w:r w:rsidRPr="00194764">
              <w:rPr>
                <w:rFonts w:ascii="Segoe UI" w:hAnsi="Segoe UI" w:cs="Segoe UI"/>
                <w:b/>
                <w:sz w:val="22"/>
                <w:szCs w:val="22"/>
              </w:rPr>
              <w:t xml:space="preserve">Required Surety Amount (1 + 2 + 3 + 4) </w:t>
            </w:r>
          </w:p>
        </w:tc>
        <w:tc>
          <w:tcPr>
            <w:tcW w:w="1440" w:type="dxa"/>
            <w:tcBorders>
              <w:top w:val="single" w:sz="12" w:space="0" w:color="auto"/>
              <w:left w:val="dotted" w:sz="4" w:space="0" w:color="auto"/>
              <w:bottom w:val="single" w:sz="12" w:space="0" w:color="000000"/>
              <w:right w:val="nil"/>
            </w:tcBorders>
          </w:tcPr>
          <w:p w14:paraId="62264603" w14:textId="45ACB879" w:rsidR="00A5629B" w:rsidRPr="00194764" w:rsidRDefault="00194764" w:rsidP="00A5629B">
            <w:pPr>
              <w:pStyle w:val="Default"/>
              <w:spacing w:before="60" w:after="60"/>
              <w:jc w:val="right"/>
              <w:rPr>
                <w:rFonts w:ascii="Segoe UI" w:hAnsi="Segoe UI" w:cs="Segoe UI"/>
                <w:b/>
                <w:sz w:val="22"/>
                <w:szCs w:val="22"/>
              </w:rPr>
            </w:pPr>
            <w:r w:rsidRPr="00194764">
              <w:rPr>
                <w:rFonts w:ascii="Segoe UI" w:hAnsi="Segoe UI" w:cs="Segoe UI"/>
                <w:b/>
                <w:sz w:val="22"/>
                <w:szCs w:val="22"/>
              </w:rPr>
              <w:fldChar w:fldCharType="begin">
                <w:ffData>
                  <w:name w:val="Text2"/>
                  <w:enabled/>
                  <w:calcOnExit w:val="0"/>
                  <w:textInput>
                    <w:type w:val="number"/>
                    <w:default w:val="$0.00"/>
                    <w:format w:val="$#,##0.00;($#,##0.00)"/>
                  </w:textInput>
                </w:ffData>
              </w:fldChar>
            </w:r>
            <w:r w:rsidRPr="00194764">
              <w:rPr>
                <w:rFonts w:ascii="Segoe UI" w:hAnsi="Segoe UI" w:cs="Segoe UI"/>
                <w:b/>
                <w:sz w:val="22"/>
                <w:szCs w:val="22"/>
              </w:rPr>
              <w:instrText xml:space="preserve"> FORMTEXT </w:instrText>
            </w:r>
            <w:r w:rsidRPr="00194764">
              <w:rPr>
                <w:rFonts w:ascii="Segoe UI" w:hAnsi="Segoe UI" w:cs="Segoe UI"/>
                <w:b/>
                <w:sz w:val="22"/>
                <w:szCs w:val="22"/>
              </w:rPr>
            </w:r>
            <w:r w:rsidRPr="00194764">
              <w:rPr>
                <w:rFonts w:ascii="Segoe UI" w:hAnsi="Segoe UI" w:cs="Segoe UI"/>
                <w:b/>
                <w:sz w:val="22"/>
                <w:szCs w:val="22"/>
              </w:rPr>
              <w:fldChar w:fldCharType="separate"/>
            </w:r>
            <w:r w:rsidRPr="00194764">
              <w:rPr>
                <w:rFonts w:ascii="Segoe UI" w:hAnsi="Segoe UI" w:cs="Segoe UI"/>
                <w:b/>
                <w:noProof/>
                <w:sz w:val="22"/>
                <w:szCs w:val="22"/>
              </w:rPr>
              <w:t>$0.00</w:t>
            </w:r>
            <w:r w:rsidRPr="00194764">
              <w:rPr>
                <w:rFonts w:ascii="Segoe UI" w:hAnsi="Segoe UI" w:cs="Segoe UI"/>
                <w:b/>
                <w:sz w:val="22"/>
                <w:szCs w:val="22"/>
              </w:rPr>
              <w:fldChar w:fldCharType="end"/>
            </w:r>
            <w:r w:rsidR="00A5629B" w:rsidRPr="00194764">
              <w:rPr>
                <w:rFonts w:ascii="Segoe UI" w:hAnsi="Segoe UI" w:cs="Segoe UI"/>
                <w:b/>
                <w:sz w:val="22"/>
                <w:szCs w:val="22"/>
              </w:rPr>
              <w:t xml:space="preserve"> </w:t>
            </w:r>
          </w:p>
        </w:tc>
      </w:tr>
    </w:tbl>
    <w:p w14:paraId="308CB225" w14:textId="77777777" w:rsidR="00816854" w:rsidRDefault="00816854" w:rsidP="00180C65">
      <w:pPr>
        <w:pStyle w:val="Default"/>
        <w:rPr>
          <w:rFonts w:ascii="Segoe UI" w:hAnsi="Segoe UI" w:cs="Segoe UI"/>
          <w:b/>
          <w:bCs/>
          <w:sz w:val="22"/>
          <w:szCs w:val="22"/>
          <w:u w:val="single"/>
        </w:rPr>
      </w:pPr>
    </w:p>
    <w:p w14:paraId="3B5FDBE3" w14:textId="1166D1D6" w:rsidR="00CC6DE6" w:rsidRPr="00180C65" w:rsidRDefault="00CC6DE6" w:rsidP="00CC6DE6">
      <w:pPr>
        <w:pStyle w:val="Default"/>
        <w:jc w:val="center"/>
        <w:rPr>
          <w:rFonts w:ascii="Segoe UI" w:hAnsi="Segoe UI" w:cs="Segoe UI"/>
          <w:b/>
          <w:bCs/>
          <w:sz w:val="22"/>
          <w:szCs w:val="22"/>
          <w:u w:val="single"/>
        </w:rPr>
      </w:pPr>
      <w:r w:rsidRPr="00180C65">
        <w:rPr>
          <w:rFonts w:ascii="Segoe UI" w:hAnsi="Segoe UI" w:cs="Segoe UI"/>
          <w:b/>
          <w:bCs/>
          <w:sz w:val="22"/>
          <w:szCs w:val="22"/>
          <w:u w:val="single"/>
        </w:rPr>
        <w:t>EXPLANATIONS</w:t>
      </w:r>
    </w:p>
    <w:p w14:paraId="678366EF" w14:textId="77777777" w:rsidR="00CC6DE6" w:rsidRPr="00180C65" w:rsidRDefault="00CC6DE6" w:rsidP="00CC6DE6">
      <w:pPr>
        <w:pStyle w:val="Default"/>
        <w:jc w:val="center"/>
        <w:rPr>
          <w:rFonts w:ascii="Segoe UI" w:hAnsi="Segoe UI" w:cs="Segoe UI"/>
          <w:sz w:val="22"/>
          <w:szCs w:val="22"/>
        </w:rPr>
      </w:pPr>
    </w:p>
    <w:p w14:paraId="3710C600" w14:textId="77777777" w:rsidR="00CC6DE6" w:rsidRPr="00180C65" w:rsidRDefault="00CC6DE6" w:rsidP="00CC6DE6">
      <w:pPr>
        <w:pStyle w:val="Default"/>
        <w:ind w:left="900" w:hanging="900"/>
        <w:rPr>
          <w:rFonts w:ascii="Segoe UI" w:hAnsi="Segoe UI" w:cs="Segoe UI"/>
          <w:sz w:val="22"/>
          <w:szCs w:val="22"/>
        </w:rPr>
      </w:pPr>
      <w:r w:rsidRPr="00180C65">
        <w:rPr>
          <w:rFonts w:ascii="Segoe UI" w:hAnsi="Segoe UI" w:cs="Segoe UI"/>
          <w:b/>
          <w:bCs/>
          <w:sz w:val="22"/>
          <w:szCs w:val="22"/>
        </w:rPr>
        <w:t>Line 1</w:t>
      </w:r>
      <w:r w:rsidRPr="00180C65">
        <w:rPr>
          <w:rFonts w:ascii="Segoe UI" w:hAnsi="Segoe UI" w:cs="Segoe UI"/>
          <w:sz w:val="22"/>
          <w:szCs w:val="22"/>
        </w:rPr>
        <w:t>:</w:t>
      </w:r>
      <w:r w:rsidRPr="00180C65">
        <w:rPr>
          <w:rFonts w:ascii="Segoe UI" w:hAnsi="Segoe UI" w:cs="Segoe UI"/>
          <w:color w:val="auto"/>
          <w:sz w:val="22"/>
          <w:szCs w:val="22"/>
        </w:rPr>
        <w:t xml:space="preserve">   </w:t>
      </w:r>
      <w:hyperlink r:id="rId14">
        <w:r w:rsidRPr="00180C65">
          <w:rPr>
            <w:rStyle w:val="Hyperlink"/>
            <w:rFonts w:ascii="Segoe UI" w:hAnsi="Segoe UI" w:cs="Segoe UI"/>
            <w:sz w:val="22"/>
            <w:szCs w:val="22"/>
          </w:rPr>
          <w:t>M.G.L. c. 69, s. 31B(b)(3)</w:t>
        </w:r>
      </w:hyperlink>
      <w:r w:rsidRPr="00180C65">
        <w:rPr>
          <w:rFonts w:ascii="Segoe UI" w:hAnsi="Segoe UI" w:cs="Segoe UI"/>
          <w:sz w:val="22"/>
          <w:szCs w:val="22"/>
        </w:rPr>
        <w:t xml:space="preserve"> requires that an institution identified as at risk of imminent closure must establish a plan that assures the refund of deposits made by students in anticipation of enrolling or continuing their enrollment at the institution and that the institution furnish a bond with surety or a letter of credit sufficient to meet the costs of so refunding.</w:t>
      </w:r>
    </w:p>
    <w:p w14:paraId="1988CC6A" w14:textId="77777777" w:rsidR="00CC6DE6" w:rsidRPr="00180C65" w:rsidRDefault="00CC6DE6" w:rsidP="00CC6DE6">
      <w:pPr>
        <w:pStyle w:val="Default"/>
        <w:ind w:left="900" w:hanging="900"/>
        <w:rPr>
          <w:rFonts w:ascii="Segoe UI" w:hAnsi="Segoe UI" w:cs="Segoe UI"/>
          <w:sz w:val="22"/>
          <w:szCs w:val="22"/>
        </w:rPr>
      </w:pPr>
    </w:p>
    <w:p w14:paraId="3016ACE4" w14:textId="77777777" w:rsidR="00CC6DE6" w:rsidRPr="00180C65" w:rsidRDefault="00CC6DE6" w:rsidP="00CC6DE6">
      <w:pPr>
        <w:pStyle w:val="Default"/>
        <w:ind w:left="900"/>
        <w:rPr>
          <w:rFonts w:ascii="Segoe UI" w:hAnsi="Segoe UI" w:cs="Segoe UI"/>
          <w:sz w:val="22"/>
          <w:szCs w:val="22"/>
        </w:rPr>
      </w:pPr>
      <w:r w:rsidRPr="00180C65">
        <w:rPr>
          <w:rFonts w:ascii="Segoe UI" w:hAnsi="Segoe UI" w:cs="Segoe UI"/>
          <w:sz w:val="22"/>
          <w:szCs w:val="22"/>
        </w:rPr>
        <w:t xml:space="preserve">The Department has interpreted the statutory requirement of refunding deposits made by students in anticipation of continuing their enrollment as requiring the refund of any moneys paid out of pocket by or on the behalf of enrolled students for which the value in exchange has not been received. For example, where an institution closes midway through a semester, such that enrolled students are not able to complete their coursework and obtain final, potentially transferable credits, any amounts that students paid for that semester’s education should be refunded because the students did not receive what they had paid for (i.e., the credits toward credential or degree). This calculation will ensure that all currently enrolled students will be able to receive a refund should they pay in advance for credits that they do not ultimately receive. </w:t>
      </w:r>
    </w:p>
    <w:p w14:paraId="70F36B03" w14:textId="77777777" w:rsidR="00CC6DE6" w:rsidRPr="00180C65" w:rsidRDefault="00CC6DE6" w:rsidP="00CC6DE6">
      <w:pPr>
        <w:pStyle w:val="Default"/>
        <w:ind w:left="900"/>
        <w:rPr>
          <w:rFonts w:ascii="Segoe UI" w:hAnsi="Segoe UI" w:cs="Segoe UI"/>
          <w:sz w:val="22"/>
          <w:szCs w:val="22"/>
        </w:rPr>
      </w:pPr>
    </w:p>
    <w:p w14:paraId="455D372B" w14:textId="77777777" w:rsidR="00CC6DE6" w:rsidRPr="00180C65" w:rsidRDefault="00CC6DE6" w:rsidP="00CC6DE6">
      <w:pPr>
        <w:pStyle w:val="Default"/>
        <w:ind w:left="900"/>
        <w:rPr>
          <w:rFonts w:ascii="Segoe UI" w:hAnsi="Segoe UI" w:cs="Segoe UI"/>
          <w:sz w:val="22"/>
          <w:szCs w:val="22"/>
        </w:rPr>
      </w:pPr>
      <w:r w:rsidRPr="00180C65">
        <w:rPr>
          <w:rFonts w:ascii="Segoe UI" w:hAnsi="Segoe UI" w:cs="Segoe UI"/>
          <w:sz w:val="22"/>
          <w:szCs w:val="22"/>
        </w:rPr>
        <w:t>The Department has removed grants or scholarship funds from this calculation because those amounts are not paid out of pocket by the students or on their behalf.</w:t>
      </w:r>
    </w:p>
    <w:p w14:paraId="241A47D0" w14:textId="77777777" w:rsidR="00CC6DE6" w:rsidRPr="00180C65" w:rsidRDefault="00CC6DE6" w:rsidP="00CC6DE6">
      <w:pPr>
        <w:pStyle w:val="Default"/>
        <w:rPr>
          <w:rFonts w:ascii="Segoe UI" w:hAnsi="Segoe UI" w:cs="Segoe UI"/>
          <w:color w:val="000000" w:themeColor="text1"/>
          <w:sz w:val="22"/>
          <w:szCs w:val="22"/>
        </w:rPr>
      </w:pPr>
    </w:p>
    <w:p w14:paraId="1F41AC37" w14:textId="6E482EEE" w:rsidR="00CC6DE6" w:rsidRPr="00180C65" w:rsidRDefault="00CC6DE6" w:rsidP="00CC6DE6">
      <w:pPr>
        <w:pStyle w:val="Default"/>
        <w:ind w:left="900"/>
        <w:rPr>
          <w:rFonts w:ascii="Segoe UI" w:hAnsi="Segoe UI" w:cs="Segoe UI"/>
          <w:color w:val="000000" w:themeColor="text1"/>
          <w:sz w:val="22"/>
          <w:szCs w:val="22"/>
        </w:rPr>
      </w:pPr>
      <w:r w:rsidRPr="00180C65">
        <w:rPr>
          <w:rFonts w:ascii="Segoe UI" w:hAnsi="Segoe UI" w:cs="Segoe UI"/>
          <w:color w:val="000000" w:themeColor="text1"/>
          <w:sz w:val="22"/>
          <w:szCs w:val="22"/>
        </w:rPr>
        <w:t xml:space="preserve">Using data captured on the institution’s audited financial statements, this calculation takes the average net student tuition and fee revenue for the prior 3 years, plus the average net revenue the institution receives from student room </w:t>
      </w:r>
      <w:r w:rsidRPr="00180C65">
        <w:rPr>
          <w:rFonts w:ascii="Segoe UI" w:hAnsi="Segoe UI" w:cs="Segoe UI"/>
          <w:color w:val="000000" w:themeColor="text1"/>
          <w:sz w:val="22"/>
          <w:szCs w:val="22"/>
        </w:rPr>
        <w:lastRenderedPageBreak/>
        <w:t xml:space="preserve">and board charges for the prior 3 </w:t>
      </w:r>
      <w:proofErr w:type="gramStart"/>
      <w:r w:rsidRPr="00180C65">
        <w:rPr>
          <w:rFonts w:ascii="Segoe UI" w:hAnsi="Segoe UI" w:cs="Segoe UI"/>
          <w:color w:val="000000" w:themeColor="text1"/>
          <w:sz w:val="22"/>
          <w:szCs w:val="22"/>
        </w:rPr>
        <w:t>years, and</w:t>
      </w:r>
      <w:proofErr w:type="gramEnd"/>
      <w:r w:rsidRPr="00180C65">
        <w:rPr>
          <w:rFonts w:ascii="Segoe UI" w:hAnsi="Segoe UI" w:cs="Segoe UI"/>
          <w:color w:val="000000" w:themeColor="text1"/>
          <w:sz w:val="22"/>
          <w:szCs w:val="22"/>
        </w:rPr>
        <w:t xml:space="preserve"> divides this total </w:t>
      </w:r>
      <w:r w:rsidR="00180C65">
        <w:rPr>
          <w:rFonts w:ascii="Segoe UI" w:hAnsi="Segoe UI" w:cs="Segoe UI"/>
          <w:color w:val="000000" w:themeColor="text1"/>
          <w:sz w:val="22"/>
          <w:szCs w:val="22"/>
        </w:rPr>
        <w:t>b</w:t>
      </w:r>
      <w:r w:rsidRPr="00180C65">
        <w:rPr>
          <w:rFonts w:ascii="Segoe UI" w:hAnsi="Segoe UI" w:cs="Segoe UI"/>
          <w:color w:val="000000" w:themeColor="text1"/>
          <w:sz w:val="22"/>
          <w:szCs w:val="22"/>
        </w:rPr>
        <w:t>y 2 to arrive at a “per semester” average net revenue figure. This calculation assumes the institution’s primary enrollment and education activities occur during a fall and spring semester. This calculation represents the expected amount which may need to be refunded to students in the event of institutional closure during the upcoming semester.</w:t>
      </w:r>
    </w:p>
    <w:p w14:paraId="685C6F8D" w14:textId="77777777" w:rsidR="00CC6DE6" w:rsidRPr="00180C65" w:rsidRDefault="00CC6DE6" w:rsidP="003F25E2">
      <w:pPr>
        <w:pStyle w:val="Default"/>
        <w:spacing w:line="259" w:lineRule="auto"/>
        <w:rPr>
          <w:rFonts w:ascii="Segoe UI" w:hAnsi="Segoe UI" w:cs="Segoe UI"/>
          <w:color w:val="000000" w:themeColor="text1"/>
          <w:sz w:val="22"/>
          <w:szCs w:val="22"/>
        </w:rPr>
      </w:pPr>
    </w:p>
    <w:p w14:paraId="3D3073AD" w14:textId="77777777" w:rsidR="00CC6DE6" w:rsidRPr="00180C65" w:rsidRDefault="00CC6DE6" w:rsidP="00CC6DE6">
      <w:pPr>
        <w:pStyle w:val="Default"/>
        <w:spacing w:line="259" w:lineRule="auto"/>
        <w:ind w:left="900"/>
        <w:rPr>
          <w:rFonts w:ascii="Segoe UI" w:hAnsi="Segoe UI" w:cs="Segoe UI"/>
          <w:color w:val="000000" w:themeColor="text1"/>
          <w:sz w:val="22"/>
          <w:szCs w:val="22"/>
        </w:rPr>
      </w:pPr>
      <w:proofErr w:type="gramStart"/>
      <w:r w:rsidRPr="00180C65">
        <w:rPr>
          <w:rFonts w:ascii="Segoe UI" w:hAnsi="Segoe UI" w:cs="Segoe UI"/>
          <w:sz w:val="22"/>
          <w:szCs w:val="22"/>
        </w:rPr>
        <w:t>With regard to</w:t>
      </w:r>
      <w:proofErr w:type="gramEnd"/>
      <w:r w:rsidRPr="00180C65">
        <w:rPr>
          <w:rFonts w:ascii="Segoe UI" w:hAnsi="Segoe UI" w:cs="Segoe UI"/>
          <w:sz w:val="22"/>
          <w:szCs w:val="22"/>
        </w:rPr>
        <w:t xml:space="preserve"> room and board, the Department has included the full amount of room and board (based on a 3-year average and enrollment) in the surety calculation. However, the Department recognizes that if room and board refunds become necessary, then refunds can be prorated, because, unlike with tuition, students do receive something in exchange for </w:t>
      </w:r>
      <w:proofErr w:type="gramStart"/>
      <w:r w:rsidRPr="00180C65">
        <w:rPr>
          <w:rFonts w:ascii="Segoe UI" w:hAnsi="Segoe UI" w:cs="Segoe UI"/>
          <w:sz w:val="22"/>
          <w:szCs w:val="22"/>
        </w:rPr>
        <w:t>the majority of</w:t>
      </w:r>
      <w:proofErr w:type="gramEnd"/>
      <w:r w:rsidRPr="00180C65">
        <w:rPr>
          <w:rFonts w:ascii="Segoe UI" w:hAnsi="Segoe UI" w:cs="Segoe UI"/>
          <w:sz w:val="22"/>
          <w:szCs w:val="22"/>
        </w:rPr>
        <w:t xml:space="preserve"> their room and board in real time. For example, if a student pays in advance for room and board, and the institution closes midway through a semester, the student has still received partial value for their room and board deposit (i.e., they have been able to live in institution-provided housing and access institution-provided meals for the time that the institution was open). The overinclusive surety calculation, however, will ensure that all currently enrolled students will be able to receive a prorated refund for room and board that they have paid in advance but for which they did not receive value in return, irrespective of the date the institution closes.</w:t>
      </w:r>
    </w:p>
    <w:p w14:paraId="06D28C91" w14:textId="77777777" w:rsidR="00CC6DE6" w:rsidRPr="00180C65" w:rsidRDefault="00CC6DE6" w:rsidP="00CC6DE6">
      <w:pPr>
        <w:pStyle w:val="Default"/>
        <w:rPr>
          <w:rFonts w:ascii="Segoe UI" w:hAnsi="Segoe UI" w:cs="Segoe UI"/>
          <w:sz w:val="22"/>
          <w:szCs w:val="22"/>
        </w:rPr>
      </w:pPr>
    </w:p>
    <w:p w14:paraId="56674C8C" w14:textId="77777777" w:rsidR="00CC6DE6" w:rsidRPr="00180C65" w:rsidRDefault="00CC6DE6" w:rsidP="00CC6DE6">
      <w:pPr>
        <w:pStyle w:val="Default"/>
        <w:ind w:left="900" w:hanging="900"/>
        <w:rPr>
          <w:rFonts w:ascii="Segoe UI" w:hAnsi="Segoe UI" w:cs="Segoe UI"/>
          <w:sz w:val="22"/>
          <w:szCs w:val="22"/>
        </w:rPr>
      </w:pPr>
      <w:r w:rsidRPr="00180C65">
        <w:rPr>
          <w:rFonts w:ascii="Segoe UI" w:hAnsi="Segoe UI" w:cs="Segoe UI"/>
          <w:b/>
          <w:bCs/>
          <w:sz w:val="22"/>
          <w:szCs w:val="22"/>
        </w:rPr>
        <w:t>Line 2</w:t>
      </w:r>
      <w:r w:rsidRPr="00180C65">
        <w:rPr>
          <w:rFonts w:ascii="Segoe UI" w:hAnsi="Segoe UI" w:cs="Segoe UI"/>
          <w:sz w:val="22"/>
          <w:szCs w:val="22"/>
        </w:rPr>
        <w:t xml:space="preserve">:   This calculation is to cover the refund of admissions deposits for new student enrollment as required by the statute. The Department is using a 3-year window to create an average of new students on which this amount will be based, </w:t>
      </w:r>
      <w:proofErr w:type="gramStart"/>
      <w:r w:rsidRPr="00180C65">
        <w:rPr>
          <w:rFonts w:ascii="Segoe UI" w:hAnsi="Segoe UI" w:cs="Segoe UI"/>
          <w:sz w:val="22"/>
          <w:szCs w:val="22"/>
        </w:rPr>
        <w:t>in an effort to</w:t>
      </w:r>
      <w:proofErr w:type="gramEnd"/>
      <w:r w:rsidRPr="00180C65">
        <w:rPr>
          <w:rFonts w:ascii="Segoe UI" w:hAnsi="Segoe UI" w:cs="Segoe UI"/>
          <w:sz w:val="22"/>
          <w:szCs w:val="22"/>
        </w:rPr>
        <w:t xml:space="preserve"> take into account and capture enrollment trends. The intended purpose is for the obtained surety to cover the refunds of new student enrollment deposits if the institution closes.</w:t>
      </w:r>
    </w:p>
    <w:p w14:paraId="4D92CCFF" w14:textId="77777777" w:rsidR="00CC6DE6" w:rsidRPr="00180C65" w:rsidRDefault="00CC6DE6" w:rsidP="00CC6DE6">
      <w:pPr>
        <w:pStyle w:val="Default"/>
        <w:rPr>
          <w:rFonts w:ascii="Segoe UI" w:hAnsi="Segoe UI" w:cs="Segoe UI"/>
          <w:sz w:val="22"/>
          <w:szCs w:val="22"/>
        </w:rPr>
      </w:pPr>
    </w:p>
    <w:p w14:paraId="13CF2CDA" w14:textId="77777777" w:rsidR="00CC6DE6" w:rsidRPr="00180C65" w:rsidRDefault="00CC6DE6" w:rsidP="00CC6DE6">
      <w:pPr>
        <w:pStyle w:val="Default"/>
        <w:ind w:left="900" w:hanging="900"/>
        <w:rPr>
          <w:rFonts w:ascii="Segoe UI" w:hAnsi="Segoe UI" w:cs="Segoe UI"/>
          <w:sz w:val="22"/>
          <w:szCs w:val="22"/>
        </w:rPr>
      </w:pPr>
      <w:r w:rsidRPr="00180C65">
        <w:rPr>
          <w:rFonts w:ascii="Segoe UI" w:hAnsi="Segoe UI" w:cs="Segoe UI"/>
          <w:b/>
          <w:bCs/>
          <w:sz w:val="22"/>
          <w:szCs w:val="22"/>
        </w:rPr>
        <w:t>Line 3</w:t>
      </w:r>
      <w:r w:rsidRPr="00180C65">
        <w:rPr>
          <w:rFonts w:ascii="Segoe UI" w:hAnsi="Segoe UI" w:cs="Segoe UI"/>
          <w:sz w:val="22"/>
          <w:szCs w:val="22"/>
        </w:rPr>
        <w:t>:</w:t>
      </w:r>
      <w:r w:rsidRPr="00180C65">
        <w:rPr>
          <w:rFonts w:ascii="Segoe UI" w:hAnsi="Segoe UI" w:cs="Segoe UI"/>
          <w:sz w:val="22"/>
          <w:szCs w:val="22"/>
        </w:rPr>
        <w:tab/>
      </w:r>
      <w:bookmarkStart w:id="2" w:name="_Hlk98148191"/>
      <w:r w:rsidRPr="00180C65">
        <w:rPr>
          <w:rStyle w:val="Hyperlink"/>
          <w:rFonts w:ascii="Segoe UI" w:hAnsi="Segoe UI" w:cs="Segoe UI"/>
          <w:sz w:val="22"/>
          <w:szCs w:val="22"/>
        </w:rPr>
        <w:t>M.G.L. c. 69, s. 31B(b)(3)</w:t>
      </w:r>
      <w:r w:rsidRPr="00180C65">
        <w:rPr>
          <w:rFonts w:ascii="Segoe UI" w:hAnsi="Segoe UI" w:cs="Segoe UI"/>
          <w:sz w:val="22"/>
          <w:szCs w:val="22"/>
        </w:rPr>
        <w:t xml:space="preserve"> requires that the institution’s plan to protect and maintain student records be supported by a bond with surety or a letter of credit sufficient to meet the costs of maintaining those records. </w:t>
      </w:r>
      <w:bookmarkEnd w:id="2"/>
    </w:p>
    <w:p w14:paraId="0DF87559" w14:textId="77777777" w:rsidR="00CC6DE6" w:rsidRPr="00180C65" w:rsidRDefault="00CC6DE6" w:rsidP="00CC6DE6">
      <w:pPr>
        <w:pStyle w:val="Default"/>
        <w:ind w:left="900" w:hanging="900"/>
        <w:rPr>
          <w:rFonts w:ascii="Segoe UI" w:hAnsi="Segoe UI" w:cs="Segoe UI"/>
          <w:sz w:val="22"/>
          <w:szCs w:val="22"/>
        </w:rPr>
      </w:pPr>
    </w:p>
    <w:p w14:paraId="0FBA9C1F" w14:textId="1ABC4779" w:rsidR="00CC6DE6" w:rsidRPr="00180C65" w:rsidRDefault="00CC6DE6" w:rsidP="00CC6DE6">
      <w:pPr>
        <w:pStyle w:val="Default"/>
        <w:ind w:left="900"/>
        <w:rPr>
          <w:rFonts w:ascii="Segoe UI" w:hAnsi="Segoe UI" w:cs="Segoe UI"/>
          <w:sz w:val="22"/>
          <w:szCs w:val="22"/>
        </w:rPr>
      </w:pPr>
      <w:r w:rsidRPr="00180C65">
        <w:rPr>
          <w:rFonts w:ascii="Segoe UI" w:hAnsi="Segoe UI" w:cs="Segoe UI"/>
          <w:sz w:val="22"/>
          <w:szCs w:val="22"/>
        </w:rPr>
        <w:t xml:space="preserve">This calculation is based </w:t>
      </w:r>
      <w:proofErr w:type="gramStart"/>
      <w:r w:rsidRPr="00180C65">
        <w:rPr>
          <w:rFonts w:ascii="Segoe UI" w:hAnsi="Segoe UI" w:cs="Segoe UI"/>
          <w:sz w:val="22"/>
          <w:szCs w:val="22"/>
        </w:rPr>
        <w:t>off of</w:t>
      </w:r>
      <w:proofErr w:type="gramEnd"/>
      <w:r w:rsidRPr="00180C65">
        <w:rPr>
          <w:rFonts w:ascii="Segoe UI" w:hAnsi="Segoe UI" w:cs="Segoe UI"/>
          <w:sz w:val="22"/>
          <w:szCs w:val="22"/>
        </w:rPr>
        <w:t xml:space="preserve"> the cost quoted by a credentialing provider</w:t>
      </w:r>
      <w:r w:rsidR="00180C65" w:rsidRPr="00180C65">
        <w:rPr>
          <w:rFonts w:ascii="Segoe UI" w:hAnsi="Segoe UI" w:cs="Segoe UI"/>
          <w:sz w:val="22"/>
          <w:szCs w:val="22"/>
        </w:rPr>
        <w:t>–</w:t>
      </w:r>
      <w:r w:rsidRPr="00180C65">
        <w:rPr>
          <w:rFonts w:ascii="Segoe UI" w:hAnsi="Segoe UI" w:cs="Segoe UI"/>
          <w:sz w:val="22"/>
          <w:szCs w:val="22"/>
        </w:rPr>
        <w:t>e.g., Parchment, LLC (as of March 2022)</w:t>
      </w:r>
      <w:r w:rsidR="00180C65" w:rsidRPr="00180C65">
        <w:rPr>
          <w:rFonts w:ascii="Segoe UI" w:hAnsi="Segoe UI" w:cs="Segoe UI"/>
          <w:sz w:val="22"/>
          <w:szCs w:val="22"/>
        </w:rPr>
        <w:t>–</w:t>
      </w:r>
      <w:r w:rsidRPr="00180C65">
        <w:rPr>
          <w:rFonts w:ascii="Segoe UI" w:hAnsi="Segoe UI" w:cs="Segoe UI"/>
          <w:sz w:val="22"/>
          <w:szCs w:val="22"/>
        </w:rPr>
        <w:t>for its scan and index process for student transcripts. While not every institution would need to utilize a service such as Parchment’s for its transcripts if it should close, the $.60 per transcript fee provides a baseline of the approximate cost for digitizing and indexing the transcripts with a credentialing service.</w:t>
      </w:r>
    </w:p>
    <w:p w14:paraId="0503FB00" w14:textId="77777777" w:rsidR="00CC6DE6" w:rsidRPr="00180C65" w:rsidRDefault="00CC6DE6" w:rsidP="00CC6DE6">
      <w:pPr>
        <w:pStyle w:val="Default"/>
        <w:ind w:left="900" w:hanging="900"/>
        <w:rPr>
          <w:rFonts w:ascii="Segoe UI" w:hAnsi="Segoe UI" w:cs="Segoe UI"/>
          <w:sz w:val="22"/>
          <w:szCs w:val="22"/>
        </w:rPr>
      </w:pPr>
    </w:p>
    <w:p w14:paraId="77BD087B" w14:textId="774E2463" w:rsidR="00CC6DE6" w:rsidRPr="00180C65" w:rsidRDefault="00CC6DE6" w:rsidP="00180C65">
      <w:pPr>
        <w:pStyle w:val="Default"/>
        <w:ind w:left="900"/>
        <w:rPr>
          <w:rFonts w:ascii="Segoe UI" w:hAnsi="Segoe UI" w:cs="Segoe UI"/>
          <w:sz w:val="22"/>
          <w:szCs w:val="22"/>
        </w:rPr>
      </w:pPr>
      <w:r w:rsidRPr="00180C65">
        <w:rPr>
          <w:rFonts w:ascii="Segoe UI" w:hAnsi="Segoe UI" w:cs="Segoe UI"/>
          <w:sz w:val="22"/>
          <w:szCs w:val="22"/>
        </w:rPr>
        <w:lastRenderedPageBreak/>
        <w:t xml:space="preserve">Please note that, in generating this calculation, you should include </w:t>
      </w:r>
      <w:r w:rsidRPr="00180C65">
        <w:rPr>
          <w:rFonts w:ascii="Segoe UI" w:hAnsi="Segoe UI" w:cs="Segoe UI"/>
          <w:i/>
          <w:iCs/>
          <w:sz w:val="22"/>
          <w:szCs w:val="22"/>
        </w:rPr>
        <w:t>all</w:t>
      </w:r>
      <w:r w:rsidRPr="00180C65">
        <w:rPr>
          <w:rFonts w:ascii="Segoe UI" w:hAnsi="Segoe UI" w:cs="Segoe UI"/>
          <w:sz w:val="22"/>
          <w:szCs w:val="22"/>
        </w:rPr>
        <w:t xml:space="preserve"> transcripts that your institution holds, including transcripts that are not from your institution but for which your institution has become the custodian.</w:t>
      </w:r>
    </w:p>
    <w:p w14:paraId="29FB40EF" w14:textId="77777777" w:rsidR="00CC6DE6" w:rsidRPr="00180C65" w:rsidRDefault="00CC6DE6" w:rsidP="00CC6DE6">
      <w:pPr>
        <w:pStyle w:val="Default"/>
        <w:rPr>
          <w:rFonts w:ascii="Segoe UI" w:hAnsi="Segoe UI" w:cs="Segoe UI"/>
          <w:sz w:val="22"/>
          <w:szCs w:val="22"/>
        </w:rPr>
      </w:pPr>
    </w:p>
    <w:p w14:paraId="26F6DA2E" w14:textId="77777777" w:rsidR="00CC6DE6" w:rsidRPr="00180C65" w:rsidRDefault="00CC6DE6" w:rsidP="00CC6DE6">
      <w:pPr>
        <w:pStyle w:val="Default"/>
        <w:ind w:left="900" w:hanging="900"/>
        <w:rPr>
          <w:rFonts w:ascii="Segoe UI" w:hAnsi="Segoe UI" w:cs="Segoe UI"/>
          <w:sz w:val="22"/>
          <w:szCs w:val="22"/>
        </w:rPr>
      </w:pPr>
      <w:r w:rsidRPr="00180C65">
        <w:rPr>
          <w:rFonts w:ascii="Segoe UI" w:hAnsi="Segoe UI" w:cs="Segoe UI"/>
          <w:b/>
          <w:bCs/>
          <w:sz w:val="22"/>
          <w:szCs w:val="22"/>
        </w:rPr>
        <w:t>Line 4</w:t>
      </w:r>
      <w:r w:rsidRPr="00180C65">
        <w:rPr>
          <w:rFonts w:ascii="Segoe UI" w:hAnsi="Segoe UI" w:cs="Segoe UI"/>
          <w:sz w:val="22"/>
          <w:szCs w:val="22"/>
        </w:rPr>
        <w:t>:   This calculation is also to cover a cost typically charged by credentialing providers for opening a “storefront” for transcript requests. By way of example, as of March 2022 Parchment LLC charges $2500.00 for a storefront set up and configuration for each institution and $500.00 per storefront/institution to load the transcript records into their Credential Library for processing. Again, while every institution might not need to use the services of a credentialing provider such as Parchment’s, this amount is a baseline representation, and including this calculation ensures that, should one do so, the full cost would be accounted for in the amount of the surety.</w:t>
      </w:r>
    </w:p>
    <w:p w14:paraId="671CE9E1" w14:textId="77777777" w:rsidR="00CC6DE6" w:rsidRPr="00180C65" w:rsidRDefault="00CC6DE6" w:rsidP="00CC6DE6">
      <w:pPr>
        <w:pStyle w:val="Default"/>
        <w:rPr>
          <w:rFonts w:ascii="Segoe UI" w:hAnsi="Segoe UI" w:cs="Segoe UI"/>
          <w:sz w:val="22"/>
          <w:szCs w:val="22"/>
        </w:rPr>
      </w:pPr>
    </w:p>
    <w:p w14:paraId="0B8CED57" w14:textId="77777777" w:rsidR="00CC6DE6" w:rsidRPr="00CC6DE6" w:rsidRDefault="00CC6DE6" w:rsidP="00F06845">
      <w:pPr>
        <w:rPr>
          <w:rFonts w:ascii="Segoe UI" w:hAnsi="Segoe UI" w:cs="Segoe UI"/>
          <w:color w:val="000000"/>
          <w:sz w:val="21"/>
          <w:szCs w:val="21"/>
        </w:rPr>
      </w:pPr>
    </w:p>
    <w:sectPr w:rsidR="00CC6DE6" w:rsidRPr="00CC6DE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E336B" w14:textId="77777777" w:rsidR="00FA240B" w:rsidRDefault="00FA240B" w:rsidP="00A5629B">
      <w:r>
        <w:separator/>
      </w:r>
    </w:p>
  </w:endnote>
  <w:endnote w:type="continuationSeparator" w:id="0">
    <w:p w14:paraId="1FBF6E74" w14:textId="77777777" w:rsidR="00FA240B" w:rsidRDefault="00FA240B" w:rsidP="00A5629B">
      <w:r>
        <w:continuationSeparator/>
      </w:r>
    </w:p>
  </w:endnote>
  <w:endnote w:type="continuationNotice" w:id="1">
    <w:p w14:paraId="41122E4B" w14:textId="77777777" w:rsidR="00FA240B" w:rsidRDefault="00FA24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D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2105B" w14:textId="77777777" w:rsidR="00FA240B" w:rsidRDefault="00FA240B" w:rsidP="00A5629B">
      <w:r>
        <w:separator/>
      </w:r>
    </w:p>
  </w:footnote>
  <w:footnote w:type="continuationSeparator" w:id="0">
    <w:p w14:paraId="3DC531D8" w14:textId="77777777" w:rsidR="00FA240B" w:rsidRDefault="00FA240B" w:rsidP="00A5629B">
      <w:r>
        <w:continuationSeparator/>
      </w:r>
    </w:p>
  </w:footnote>
  <w:footnote w:type="continuationNotice" w:id="1">
    <w:p w14:paraId="55213602" w14:textId="77777777" w:rsidR="00FA240B" w:rsidRDefault="00FA240B"/>
  </w:footnote>
  <w:footnote w:id="2">
    <w:p w14:paraId="18ED6798" w14:textId="36D23FC7" w:rsidR="00A5629B" w:rsidRPr="00A5629B" w:rsidRDefault="00A5629B">
      <w:pPr>
        <w:pStyle w:val="FootnoteText"/>
        <w:rPr>
          <w:rFonts w:ascii="Segoe UI" w:hAnsi="Segoe UI" w:cs="Segoe UI"/>
        </w:rPr>
      </w:pPr>
      <w:r w:rsidRPr="00A5629B">
        <w:rPr>
          <w:rStyle w:val="FootnoteReference"/>
          <w:rFonts w:ascii="Segoe UI" w:hAnsi="Segoe UI" w:cs="Segoe UI"/>
          <w:sz w:val="18"/>
          <w:szCs w:val="18"/>
        </w:rPr>
        <w:footnoteRef/>
      </w:r>
      <w:r w:rsidRPr="00A5629B">
        <w:rPr>
          <w:rFonts w:ascii="Segoe UI" w:hAnsi="Segoe UI" w:cs="Segoe UI"/>
          <w:sz w:val="18"/>
          <w:szCs w:val="18"/>
        </w:rPr>
        <w:t xml:space="preserve"> This worksheet was received and endorsed by the Board on October 18, 2022. See </w:t>
      </w:r>
      <w:hyperlink r:id="rId1" w:history="1">
        <w:r w:rsidRPr="00A5629B">
          <w:rPr>
            <w:rStyle w:val="Hyperlink"/>
            <w:rFonts w:ascii="Segoe UI" w:hAnsi="Segoe UI" w:cs="Segoe UI"/>
            <w:sz w:val="18"/>
            <w:szCs w:val="18"/>
          </w:rPr>
          <w:t>BHE 23-12</w:t>
        </w:r>
      </w:hyperlink>
      <w:r w:rsidRPr="00A5629B">
        <w:rPr>
          <w:rFonts w:ascii="Segoe UI" w:hAnsi="Segoe UI" w:cs="Segoe UI"/>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74F47"/>
    <w:multiLevelType w:val="hybridMultilevel"/>
    <w:tmpl w:val="5BAE7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5159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29B"/>
    <w:rsid w:val="00046B1D"/>
    <w:rsid w:val="000B4940"/>
    <w:rsid w:val="000F7840"/>
    <w:rsid w:val="0014322B"/>
    <w:rsid w:val="001442C3"/>
    <w:rsid w:val="00180C65"/>
    <w:rsid w:val="00194764"/>
    <w:rsid w:val="001A144D"/>
    <w:rsid w:val="001C2435"/>
    <w:rsid w:val="001F55A3"/>
    <w:rsid w:val="00211A8B"/>
    <w:rsid w:val="002C2BA1"/>
    <w:rsid w:val="003102F2"/>
    <w:rsid w:val="00311977"/>
    <w:rsid w:val="003222C7"/>
    <w:rsid w:val="003247BB"/>
    <w:rsid w:val="00331AF8"/>
    <w:rsid w:val="00341D91"/>
    <w:rsid w:val="003542AD"/>
    <w:rsid w:val="0037700F"/>
    <w:rsid w:val="00393FA2"/>
    <w:rsid w:val="003F25E2"/>
    <w:rsid w:val="004A3E7B"/>
    <w:rsid w:val="00536216"/>
    <w:rsid w:val="00687F46"/>
    <w:rsid w:val="00724D19"/>
    <w:rsid w:val="00762F21"/>
    <w:rsid w:val="007B25D2"/>
    <w:rsid w:val="00816854"/>
    <w:rsid w:val="00826843"/>
    <w:rsid w:val="008C3263"/>
    <w:rsid w:val="009234B3"/>
    <w:rsid w:val="009534B4"/>
    <w:rsid w:val="009E0D61"/>
    <w:rsid w:val="009E36F8"/>
    <w:rsid w:val="009E504D"/>
    <w:rsid w:val="009F262A"/>
    <w:rsid w:val="009F305B"/>
    <w:rsid w:val="00A5629B"/>
    <w:rsid w:val="00A81D63"/>
    <w:rsid w:val="00A934E9"/>
    <w:rsid w:val="00AC6648"/>
    <w:rsid w:val="00B62A66"/>
    <w:rsid w:val="00C54BD7"/>
    <w:rsid w:val="00C55A38"/>
    <w:rsid w:val="00C63546"/>
    <w:rsid w:val="00C65B6B"/>
    <w:rsid w:val="00C87E3E"/>
    <w:rsid w:val="00CB2183"/>
    <w:rsid w:val="00CC6DE6"/>
    <w:rsid w:val="00CD72FA"/>
    <w:rsid w:val="00D85728"/>
    <w:rsid w:val="00D875BC"/>
    <w:rsid w:val="00DD3187"/>
    <w:rsid w:val="00DF1A5D"/>
    <w:rsid w:val="00E1069E"/>
    <w:rsid w:val="00E355B1"/>
    <w:rsid w:val="00E801A2"/>
    <w:rsid w:val="00E93CBA"/>
    <w:rsid w:val="00EB2957"/>
    <w:rsid w:val="00EC2E66"/>
    <w:rsid w:val="00F06845"/>
    <w:rsid w:val="00FA2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F54875"/>
  <w15:chartTrackingRefBased/>
  <w15:docId w15:val="{93BBF67B-806E-2C4F-BE2C-5471B9A74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34B4"/>
    <w:rPr>
      <w:rFonts w:ascii="Tahoma" w:hAnsi="Tahoma" w:cs="Tahoma"/>
      <w:sz w:val="16"/>
      <w:szCs w:val="16"/>
    </w:rPr>
  </w:style>
  <w:style w:type="character" w:customStyle="1" w:styleId="BalloonTextChar">
    <w:name w:val="Balloon Text Char"/>
    <w:basedOn w:val="DefaultParagraphFont"/>
    <w:link w:val="BalloonText"/>
    <w:uiPriority w:val="99"/>
    <w:semiHidden/>
    <w:rsid w:val="009534B4"/>
    <w:rPr>
      <w:rFonts w:ascii="Tahoma" w:hAnsi="Tahoma" w:cs="Tahoma"/>
      <w:sz w:val="16"/>
      <w:szCs w:val="16"/>
    </w:rPr>
  </w:style>
  <w:style w:type="paragraph" w:customStyle="1" w:styleId="Default">
    <w:name w:val="Default"/>
    <w:rsid w:val="00A5629B"/>
    <w:pPr>
      <w:autoSpaceDE w:val="0"/>
      <w:autoSpaceDN w:val="0"/>
      <w:adjustRightInd w:val="0"/>
    </w:pPr>
    <w:rPr>
      <w:color w:val="000000"/>
      <w:sz w:val="24"/>
      <w:szCs w:val="24"/>
    </w:rPr>
  </w:style>
  <w:style w:type="character" w:customStyle="1" w:styleId="normaltextrun">
    <w:name w:val="normaltextrun"/>
    <w:basedOn w:val="DefaultParagraphFont"/>
    <w:rsid w:val="00A5629B"/>
  </w:style>
  <w:style w:type="paragraph" w:styleId="FootnoteText">
    <w:name w:val="footnote text"/>
    <w:basedOn w:val="Normal"/>
    <w:link w:val="FootnoteTextChar"/>
    <w:uiPriority w:val="99"/>
    <w:semiHidden/>
    <w:unhideWhenUsed/>
    <w:rsid w:val="00A5629B"/>
    <w:rPr>
      <w:sz w:val="20"/>
      <w:szCs w:val="20"/>
    </w:rPr>
  </w:style>
  <w:style w:type="character" w:customStyle="1" w:styleId="FootnoteTextChar">
    <w:name w:val="Footnote Text Char"/>
    <w:basedOn w:val="DefaultParagraphFont"/>
    <w:link w:val="FootnoteText"/>
    <w:uiPriority w:val="99"/>
    <w:semiHidden/>
    <w:rsid w:val="00A5629B"/>
    <w:rPr>
      <w:rFonts w:ascii="Arial" w:hAnsi="Arial"/>
    </w:rPr>
  </w:style>
  <w:style w:type="character" w:styleId="FootnoteReference">
    <w:name w:val="footnote reference"/>
    <w:basedOn w:val="DefaultParagraphFont"/>
    <w:uiPriority w:val="99"/>
    <w:semiHidden/>
    <w:unhideWhenUsed/>
    <w:rsid w:val="00A5629B"/>
    <w:rPr>
      <w:vertAlign w:val="superscript"/>
    </w:rPr>
  </w:style>
  <w:style w:type="character" w:styleId="Hyperlink">
    <w:name w:val="Hyperlink"/>
    <w:basedOn w:val="DefaultParagraphFont"/>
    <w:uiPriority w:val="99"/>
    <w:unhideWhenUsed/>
    <w:rsid w:val="00A5629B"/>
    <w:rPr>
      <w:color w:val="0563C1" w:themeColor="hyperlink"/>
      <w:u w:val="single"/>
    </w:rPr>
  </w:style>
  <w:style w:type="character" w:styleId="UnresolvedMention">
    <w:name w:val="Unresolved Mention"/>
    <w:basedOn w:val="DefaultParagraphFont"/>
    <w:uiPriority w:val="99"/>
    <w:semiHidden/>
    <w:unhideWhenUsed/>
    <w:rsid w:val="00A5629B"/>
    <w:rPr>
      <w:color w:val="605E5C"/>
      <w:shd w:val="clear" w:color="auto" w:fill="E1DFDD"/>
    </w:rPr>
  </w:style>
  <w:style w:type="table" w:styleId="PlainTable3">
    <w:name w:val="Plain Table 3"/>
    <w:basedOn w:val="TableNormal"/>
    <w:uiPriority w:val="43"/>
    <w:rsid w:val="00A5629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A562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Subtle1">
    <w:name w:val="Table Subtle 1"/>
    <w:basedOn w:val="TableNormal"/>
    <w:uiPriority w:val="99"/>
    <w:rsid w:val="00A5629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GridTable1Light">
    <w:name w:val="Grid Table 1 Light"/>
    <w:basedOn w:val="TableNormal"/>
    <w:uiPriority w:val="46"/>
    <w:rsid w:val="00A5629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semiHidden/>
    <w:unhideWhenUsed/>
    <w:rsid w:val="00B62A66"/>
    <w:pPr>
      <w:tabs>
        <w:tab w:val="center" w:pos="4680"/>
        <w:tab w:val="right" w:pos="9360"/>
      </w:tabs>
    </w:pPr>
  </w:style>
  <w:style w:type="character" w:customStyle="1" w:styleId="HeaderChar">
    <w:name w:val="Header Char"/>
    <w:basedOn w:val="DefaultParagraphFont"/>
    <w:link w:val="Header"/>
    <w:uiPriority w:val="99"/>
    <w:semiHidden/>
    <w:rsid w:val="00B62A66"/>
    <w:rPr>
      <w:rFonts w:ascii="Arial" w:hAnsi="Arial"/>
      <w:sz w:val="22"/>
      <w:szCs w:val="22"/>
    </w:rPr>
  </w:style>
  <w:style w:type="paragraph" w:styleId="Footer">
    <w:name w:val="footer"/>
    <w:basedOn w:val="Normal"/>
    <w:link w:val="FooterChar"/>
    <w:uiPriority w:val="99"/>
    <w:semiHidden/>
    <w:unhideWhenUsed/>
    <w:rsid w:val="00B62A66"/>
    <w:pPr>
      <w:tabs>
        <w:tab w:val="center" w:pos="4680"/>
        <w:tab w:val="right" w:pos="9360"/>
      </w:tabs>
    </w:pPr>
  </w:style>
  <w:style w:type="character" w:customStyle="1" w:styleId="FooterChar">
    <w:name w:val="Footer Char"/>
    <w:basedOn w:val="DefaultParagraphFont"/>
    <w:link w:val="Footer"/>
    <w:uiPriority w:val="99"/>
    <w:semiHidden/>
    <w:rsid w:val="00B62A66"/>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regulations/610-CMR-1300-financial-assessment-and-risk-monitoring-of-institutions-of-higher-educ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alegislature.gov/Laws/GeneralLaws/PartI/TitleXII/Chapter69/Section31B"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mass.edu/bhe/lib/documents/BHE/03_BHE%2023-12%20%20Motion%20to%20Approve%20and%20Promulgate%20Final%20Amendments%20to%20610%20CMR%2013.0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lexandernally/Downloads/Memo_With%25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6963FDC8C49B40820C09EF06F3BAFD" ma:contentTypeVersion="13" ma:contentTypeDescription="Create a new document." ma:contentTypeScope="" ma:versionID="d4a94aa5f770fcd4891822929c2a225f">
  <xsd:schema xmlns:xsd="http://www.w3.org/2001/XMLSchema" xmlns:xs="http://www.w3.org/2001/XMLSchema" xmlns:p="http://schemas.microsoft.com/office/2006/metadata/properties" xmlns:ns2="420b6b89-e334-440e-9009-f4a2c857f92a" xmlns:ns3="d2723c30-6204-4949-b924-d29eb2d07b24" targetNamespace="http://schemas.microsoft.com/office/2006/metadata/properties" ma:root="true" ma:fieldsID="0d61b21e39b18bbe0626a950c1328347" ns2:_="" ns3:_="">
    <xsd:import namespace="420b6b89-e334-440e-9009-f4a2c857f92a"/>
    <xsd:import namespace="d2723c30-6204-4949-b924-d29eb2d07b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b6b89-e334-440e-9009-f4a2c857f9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723c30-6204-4949-b924-d29eb2d07b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367ff38-77c4-4bc6-9c57-3b456b52cad8}" ma:internalName="TaxCatchAll" ma:showField="CatchAllData" ma:web="d2723c30-6204-4949-b924-d29eb2d07b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d2723c30-6204-4949-b924-d29eb2d07b24">
      <UserInfo>
        <DisplayName>Chevry, Georgiana (DHE)</DisplayName>
        <AccountId>307</AccountId>
        <AccountType/>
      </UserInfo>
    </SharedWithUsers>
    <TaxCatchAll xmlns="d2723c30-6204-4949-b924-d29eb2d07b24" xsi:nil="true"/>
    <lcf76f155ced4ddcb4097134ff3c332f xmlns="420b6b89-e334-440e-9009-f4a2c857f9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6A8171-1B5D-485E-AC97-359AB5334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0b6b89-e334-440e-9009-f4a2c857f92a"/>
    <ds:schemaRef ds:uri="d2723c30-6204-4949-b924-d29eb2d07b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98B62D-3137-49C0-BB20-8A98BC4AB34E}">
  <ds:schemaRefs>
    <ds:schemaRef ds:uri="http://schemas.microsoft.com/sharepoint/v3/contenttype/forms"/>
  </ds:schemaRefs>
</ds:datastoreItem>
</file>

<file path=customXml/itemProps3.xml><?xml version="1.0" encoding="utf-8"?>
<ds:datastoreItem xmlns:ds="http://schemas.openxmlformats.org/officeDocument/2006/customXml" ds:itemID="{83442C57-F931-1548-B5CB-E14F2B9261A4}">
  <ds:schemaRefs>
    <ds:schemaRef ds:uri="http://schemas.openxmlformats.org/officeDocument/2006/bibliography"/>
  </ds:schemaRefs>
</ds:datastoreItem>
</file>

<file path=customXml/itemProps4.xml><?xml version="1.0" encoding="utf-8"?>
<ds:datastoreItem xmlns:ds="http://schemas.openxmlformats.org/officeDocument/2006/customXml" ds:itemID="{1ABB5CDB-62F8-49E5-A152-29EC5C5A6B05}">
  <ds:schemaRefs>
    <ds:schemaRef ds:uri="http://schemas.microsoft.com/office/2006/metadata/properties"/>
    <ds:schemaRef ds:uri="http://schemas.microsoft.com/office/infopath/2007/PartnerControls"/>
    <ds:schemaRef ds:uri="d2723c30-6204-4949-b924-d29eb2d07b24"/>
    <ds:schemaRef ds:uri="420b6b89-e334-440e-9009-f4a2c857f92a"/>
  </ds:schemaRefs>
</ds:datastoreItem>
</file>

<file path=docProps/app.xml><?xml version="1.0" encoding="utf-8"?>
<Properties xmlns="http://schemas.openxmlformats.org/officeDocument/2006/extended-properties" xmlns:vt="http://schemas.openxmlformats.org/officeDocument/2006/docPropsVTypes">
  <Template>Memo_With%20Letterhead.dotx</Template>
  <TotalTime>1</TotalTime>
  <Pages>4</Pages>
  <Words>1223</Words>
  <Characters>6708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MEMORANDUM</vt:lpstr>
    </vt:vector>
  </TitlesOfParts>
  <Company>Massachusetts Board of Higher Education</Company>
  <LinksUpToDate>false</LinksUpToDate>
  <CharactersWithSpaces>7916</CharactersWithSpaces>
  <SharedDoc>false</SharedDoc>
  <HLinks>
    <vt:vector size="24" baseType="variant">
      <vt:variant>
        <vt:i4>3080313</vt:i4>
      </vt:variant>
      <vt:variant>
        <vt:i4>6</vt:i4>
      </vt:variant>
      <vt:variant>
        <vt:i4>0</vt:i4>
      </vt:variant>
      <vt:variant>
        <vt:i4>5</vt:i4>
      </vt:variant>
      <vt:variant>
        <vt:lpwstr>about:blank</vt:lpwstr>
      </vt:variant>
      <vt:variant>
        <vt:lpwstr/>
      </vt:variant>
      <vt:variant>
        <vt:i4>8323178</vt:i4>
      </vt:variant>
      <vt:variant>
        <vt:i4>3</vt:i4>
      </vt:variant>
      <vt:variant>
        <vt:i4>0</vt:i4>
      </vt:variant>
      <vt:variant>
        <vt:i4>5</vt:i4>
      </vt:variant>
      <vt:variant>
        <vt:lpwstr>https://www.mass.gov/regulations/610-CMR-1300-financial-assessment-and-risk-monitoring-of-institutions-of-higher-education</vt:lpwstr>
      </vt:variant>
      <vt:variant>
        <vt:lpwstr/>
      </vt:variant>
      <vt:variant>
        <vt:i4>7077985</vt:i4>
      </vt:variant>
      <vt:variant>
        <vt:i4>0</vt:i4>
      </vt:variant>
      <vt:variant>
        <vt:i4>0</vt:i4>
      </vt:variant>
      <vt:variant>
        <vt:i4>5</vt:i4>
      </vt:variant>
      <vt:variant>
        <vt:lpwstr>https://malegislature.gov/Laws/GeneralLaws/PartI/TitleXII/Chapter69/Section31B</vt:lpwstr>
      </vt:variant>
      <vt:variant>
        <vt:lpwstr/>
      </vt:variant>
      <vt:variant>
        <vt:i4>5373987</vt:i4>
      </vt:variant>
      <vt:variant>
        <vt:i4>0</vt:i4>
      </vt:variant>
      <vt:variant>
        <vt:i4>0</vt:i4>
      </vt:variant>
      <vt:variant>
        <vt:i4>5</vt:i4>
      </vt:variant>
      <vt:variant>
        <vt:lpwstr>https://www.mass.edu/bhe/lib/documents/BHE/03_BHE 23-12  Motion to Approve and Promulgate Final Amendments to 610 CMR 13.00.pdf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Nally, Alex (DHE)</dc:creator>
  <cp:keywords/>
  <dc:description/>
  <cp:lastModifiedBy>Nally, Alex (DHE)</cp:lastModifiedBy>
  <cp:revision>2</cp:revision>
  <dcterms:created xsi:type="dcterms:W3CDTF">2022-12-07T14:09:00Z</dcterms:created>
  <dcterms:modified xsi:type="dcterms:W3CDTF">2022-12-07T14:09:00Z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0x010100206963FDC8C49B40820C09EF06F3BAFD</vt:lpwstr>
  </property>
  <property fmtid="{D5CDD505-2E9C-101B-9397-08002B2CF9AE}" pid="3" name="Order">
    <vt:r8>9810200</vt:r8>
  </property>
  <property fmtid="{D5CDD505-2E9C-101B-9397-08002B2CF9AE}" pid="4" name="MediaServiceImageTags">
    <vt:lpwstr/>
  </property>
  <property fmtid="{D5CDD505-2E9C-101B-9397-08002B2CF9AE}" pid="5" name="_SharedFileIndex">
    <vt:lpwstr/>
  </property>
  <property fmtid="{D5CDD505-2E9C-101B-9397-08002B2CF9AE}" pid="6" name="_SourceUrl">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